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Style_2"/>
        <w:tblW w:w="9855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070"/>
        <w:gridCol w:w="4785"/>
      </w:tblGrid>
      <w:tr>
        <w:trPr/>
        <w:tc>
          <w:tcPr>
            <w:tcW w:w="5070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  <w:tc>
          <w:tcPr>
            <w:tcW w:w="4785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</w:tr>
      <w:tr>
        <w:trPr/>
        <w:tc>
          <w:tcPr>
            <w:tcW w:w="9855" w:type="dxa"/>
            <w:gridSpan w:val="2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</w:r>
          </w:p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</w:r>
          </w:p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</w:r>
          </w:p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</w:r>
          </w:p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</w:r>
          </w:p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</w:r>
          </w:p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</w:r>
          </w:p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</w:r>
          </w:p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</w:r>
          </w:p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</w:r>
          </w:p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</w:r>
          </w:p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</w:r>
          </w:p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</w:r>
          </w:p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МУНИЦИПАЛЬНАЯ ПРОГРАММА</w:t>
            </w:r>
          </w:p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«Энергосбережение и повышение энергетической эффективности Ключевского сельсовета Горшеченского района Курской области на период 202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6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-202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 xml:space="preserve">8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годы»</w:t>
            </w:r>
          </w:p>
        </w:tc>
      </w:tr>
      <w:tr>
        <w:trPr/>
        <w:tc>
          <w:tcPr>
            <w:tcW w:w="5070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</w:r>
          </w:p>
        </w:tc>
        <w:tc>
          <w:tcPr>
            <w:tcW w:w="4785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</w:r>
          </w:p>
        </w:tc>
      </w:tr>
      <w:tr>
        <w:trPr/>
        <w:tc>
          <w:tcPr>
            <w:tcW w:w="9855" w:type="dxa"/>
            <w:gridSpan w:val="2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</w:r>
          </w:p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</w:r>
          </w:p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</w:r>
          </w:p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</w:r>
          </w:p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</w:r>
          </w:p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</w:r>
          </w:p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</w:r>
          </w:p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</w:r>
          </w:p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</w:r>
          </w:p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</w:r>
          </w:p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</w:r>
          </w:p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</w:r>
          </w:p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</w:r>
          </w:p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</w:r>
          </w:p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</w:r>
          </w:p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</w:r>
          </w:p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</w:r>
          </w:p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</w:r>
          </w:p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</w:r>
          </w:p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</w:r>
          </w:p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ind w:hanging="284" w:start="284" w:end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spacing w:lineRule="auto" w:line="240" w:before="0" w:after="0"/>
        <w:ind w:hanging="284" w:start="284" w:end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spacing w:lineRule="auto" w:line="240" w:before="0" w:after="0"/>
        <w:ind w:hanging="284" w:start="284" w:end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spacing w:lineRule="auto" w:line="240" w:before="0" w:after="0"/>
        <w:ind w:hanging="284" w:start="284" w:end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spacing w:lineRule="auto" w:line="240" w:before="0" w:after="0"/>
        <w:ind w:hanging="284" w:start="284" w:end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spacing w:lineRule="auto" w:line="240" w:before="0" w:after="0"/>
        <w:ind w:hanging="284" w:start="284" w:end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spacing w:lineRule="auto" w:line="240" w:before="0" w:after="0"/>
        <w:ind w:hanging="284" w:start="284" w:end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СОДЕРЖАНИЕ</w:t>
      </w:r>
    </w:p>
    <w:p>
      <w:pPr>
        <w:pStyle w:val="Normal"/>
        <w:spacing w:lineRule="auto" w:line="240" w:before="0" w:after="0"/>
        <w:ind w:hanging="284" w:start="284" w:end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tbl>
      <w:tblPr>
        <w:tblStyle w:val="Style_2"/>
        <w:tblW w:w="8906" w:type="dxa"/>
        <w:jc w:val="start"/>
        <w:tblInd w:w="284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811"/>
        <w:gridCol w:w="3095"/>
      </w:tblGrid>
      <w:tr>
        <w:trPr/>
        <w:tc>
          <w:tcPr>
            <w:tcW w:w="5811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8"/>
                <w:szCs w:val="20"/>
              </w:rPr>
              <w:t>Наименование раздела</w:t>
            </w:r>
          </w:p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8"/>
                <w:szCs w:val="20"/>
              </w:rPr>
            </w:r>
          </w:p>
        </w:tc>
        <w:tc>
          <w:tcPr>
            <w:tcW w:w="3095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8"/>
                <w:szCs w:val="20"/>
              </w:rPr>
              <w:t>Номер страницы</w:t>
            </w:r>
          </w:p>
        </w:tc>
      </w:tr>
      <w:tr>
        <w:trPr/>
        <w:tc>
          <w:tcPr>
            <w:tcW w:w="5811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Паспорт программы</w:t>
            </w:r>
          </w:p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</w:r>
          </w:p>
        </w:tc>
        <w:tc>
          <w:tcPr>
            <w:tcW w:w="3095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2</w:t>
            </w:r>
          </w:p>
        </w:tc>
      </w:tr>
      <w:tr>
        <w:trPr/>
        <w:tc>
          <w:tcPr>
            <w:tcW w:w="5811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Общие сведения</w:t>
            </w:r>
          </w:p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</w:r>
          </w:p>
        </w:tc>
        <w:tc>
          <w:tcPr>
            <w:tcW w:w="3095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3</w:t>
            </w:r>
          </w:p>
        </w:tc>
      </w:tr>
      <w:tr>
        <w:trPr/>
        <w:tc>
          <w:tcPr>
            <w:tcW w:w="5811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Основания для разработки муниципальной программы</w:t>
            </w:r>
          </w:p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</w:r>
          </w:p>
        </w:tc>
        <w:tc>
          <w:tcPr>
            <w:tcW w:w="3095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4</w:t>
            </w:r>
          </w:p>
        </w:tc>
      </w:tr>
      <w:tr>
        <w:trPr/>
        <w:tc>
          <w:tcPr>
            <w:tcW w:w="5811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Общая характеристика текущего состояния сферы деятельности</w:t>
            </w:r>
          </w:p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</w:r>
          </w:p>
        </w:tc>
        <w:tc>
          <w:tcPr>
            <w:tcW w:w="3095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4</w:t>
            </w:r>
          </w:p>
        </w:tc>
      </w:tr>
      <w:tr>
        <w:trPr/>
        <w:tc>
          <w:tcPr>
            <w:tcW w:w="5811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Приоритеты и цели муниципальной программы</w:t>
            </w:r>
          </w:p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</w:r>
          </w:p>
        </w:tc>
        <w:tc>
          <w:tcPr>
            <w:tcW w:w="3095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7</w:t>
            </w:r>
          </w:p>
        </w:tc>
      </w:tr>
      <w:tr>
        <w:trPr/>
        <w:tc>
          <w:tcPr>
            <w:tcW w:w="5811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Прогноз ожидаемых результатов при реализации предлагаемых мероприятий</w:t>
            </w:r>
          </w:p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</w:r>
          </w:p>
        </w:tc>
        <w:tc>
          <w:tcPr>
            <w:tcW w:w="3095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7</w:t>
            </w:r>
          </w:p>
        </w:tc>
      </w:tr>
      <w:tr>
        <w:trPr/>
        <w:tc>
          <w:tcPr>
            <w:tcW w:w="5811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Финансовое обеспечение</w:t>
            </w:r>
          </w:p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</w:r>
          </w:p>
        </w:tc>
        <w:tc>
          <w:tcPr>
            <w:tcW w:w="3095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11</w:t>
            </w:r>
          </w:p>
        </w:tc>
      </w:tr>
      <w:tr>
        <w:trPr/>
        <w:tc>
          <w:tcPr>
            <w:tcW w:w="5811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Мониторинг результатов</w:t>
            </w:r>
          </w:p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</w:r>
          </w:p>
        </w:tc>
        <w:tc>
          <w:tcPr>
            <w:tcW w:w="3095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11</w:t>
            </w:r>
          </w:p>
        </w:tc>
      </w:tr>
      <w:tr>
        <w:trPr/>
        <w:tc>
          <w:tcPr>
            <w:tcW w:w="5811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Существующие риски</w:t>
            </w:r>
          </w:p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</w:r>
          </w:p>
        </w:tc>
        <w:tc>
          <w:tcPr>
            <w:tcW w:w="3095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11</w:t>
            </w:r>
          </w:p>
        </w:tc>
      </w:tr>
      <w:tr>
        <w:trPr/>
        <w:tc>
          <w:tcPr>
            <w:tcW w:w="5811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Система управления реализацией программы</w:t>
            </w:r>
          </w:p>
        </w:tc>
        <w:tc>
          <w:tcPr>
            <w:tcW w:w="3095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11</w:t>
            </w:r>
          </w:p>
        </w:tc>
      </w:tr>
      <w:tr>
        <w:trPr/>
        <w:tc>
          <w:tcPr>
            <w:tcW w:w="5811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Методика оценки эффективности реализации программы</w:t>
            </w:r>
          </w:p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</w:r>
          </w:p>
        </w:tc>
        <w:tc>
          <w:tcPr>
            <w:tcW w:w="3095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</w:r>
          </w:p>
        </w:tc>
      </w:tr>
      <w:tr>
        <w:trPr/>
        <w:tc>
          <w:tcPr>
            <w:tcW w:w="5811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3448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Методика оценки эффективности реализации программы</w:t>
            </w:r>
          </w:p>
          <w:p>
            <w:pPr>
              <w:pStyle w:val="Normal"/>
              <w:widowControl/>
              <w:tabs>
                <w:tab w:val="clear" w:pos="708"/>
                <w:tab w:val="left" w:pos="3448" w:leader="none"/>
              </w:tabs>
              <w:spacing w:lineRule="auto" w:line="240" w:before="0" w:after="0"/>
              <w:ind w:hanging="0" w:start="0" w:end="0"/>
              <w:jc w:val="star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</w:r>
          </w:p>
        </w:tc>
        <w:tc>
          <w:tcPr>
            <w:tcW w:w="3095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11</w:t>
            </w:r>
          </w:p>
        </w:tc>
      </w:tr>
      <w:tr>
        <w:trPr/>
        <w:tc>
          <w:tcPr>
            <w:tcW w:w="5811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Заключение</w:t>
            </w:r>
          </w:p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</w:r>
          </w:p>
        </w:tc>
        <w:tc>
          <w:tcPr>
            <w:tcW w:w="3095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12</w:t>
            </w:r>
          </w:p>
        </w:tc>
      </w:tr>
      <w:tr>
        <w:trPr/>
        <w:tc>
          <w:tcPr>
            <w:tcW w:w="5811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3930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Приложения</w:t>
            </w:r>
          </w:p>
        </w:tc>
        <w:tc>
          <w:tcPr>
            <w:tcW w:w="3095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15-21</w:t>
            </w:r>
          </w:p>
        </w:tc>
      </w:tr>
    </w:tbl>
    <w:p>
      <w:pPr>
        <w:pStyle w:val="Normal"/>
        <w:spacing w:lineRule="auto" w:line="240" w:before="0" w:after="0"/>
        <w:ind w:hanging="284" w:start="284" w:end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spacing w:lineRule="auto" w:line="240" w:before="0" w:after="0"/>
        <w:ind w:hanging="284" w:start="284" w:end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spacing w:lineRule="auto" w:line="240" w:before="0" w:after="0"/>
        <w:ind w:hanging="284" w:start="284" w:end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spacing w:lineRule="auto" w:line="240" w:before="0" w:after="0"/>
        <w:ind w:hanging="284" w:start="284" w:end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spacing w:lineRule="auto" w:line="240" w:before="0" w:after="0"/>
        <w:ind w:hanging="284" w:start="284" w:end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spacing w:lineRule="auto" w:line="240" w:before="0" w:after="160"/>
        <w:ind w:hanging="284" w:start="284" w:end="0"/>
        <w:jc w:val="center"/>
        <w:rPr>
          <w:rFonts w:ascii="Times New Roman" w:hAnsi="Times New Roman"/>
          <w:b/>
          <w:sz w:val="28"/>
        </w:rPr>
        <w:sectPr>
          <w:footerReference w:type="even" r:id="rId2"/>
          <w:footerReference w:type="default" r:id="rId3"/>
          <w:footerReference w:type="first" r:id="rId4"/>
          <w:type w:val="nextPage"/>
          <w:pgSz w:w="11906" w:h="16838"/>
          <w:pgMar w:left="1134" w:right="1134" w:gutter="0" w:header="0" w:top="1134" w:footer="709" w:bottom="1134"/>
          <w:pgNumType w:start="0" w:fmt="decimal"/>
          <w:formProt w:val="false"/>
          <w:titlePg/>
          <w:textDirection w:val="lrTb"/>
          <w:docGrid w:type="default" w:linePitch="100" w:charSpace="0"/>
        </w:sectPr>
      </w:pPr>
      <w:r>
        <w:rPr>
          <w:rFonts w:ascii="Times New Roman" w:hAnsi="Times New Roman"/>
          <w:b/>
          <w:sz w:val="28"/>
        </w:rPr>
      </w:r>
    </w:p>
    <w:p>
      <w:pPr>
        <w:pStyle w:val="Normal"/>
        <w:spacing w:lineRule="auto" w:line="240" w:before="0" w:after="0"/>
        <w:ind w:hanging="284" w:start="284" w:end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ПАСПОРТ</w:t>
      </w:r>
    </w:p>
    <w:p>
      <w:pPr>
        <w:pStyle w:val="Normal"/>
        <w:spacing w:lineRule="auto" w:line="240" w:before="0" w:after="0"/>
        <w:ind w:hanging="284" w:start="284" w:end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муниципальной программы</w:t>
      </w:r>
    </w:p>
    <w:p>
      <w:pPr>
        <w:pStyle w:val="Normal"/>
        <w:spacing w:lineRule="auto" w:line="240" w:before="0" w:after="0"/>
        <w:ind w:hanging="284" w:start="284" w:end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«Электроснабжение и повышение энергетической эффективности Ключевского сельсовета Горшеченского района на период </w:t>
      </w:r>
    </w:p>
    <w:p>
      <w:pPr>
        <w:pStyle w:val="Normal"/>
        <w:spacing w:lineRule="auto" w:line="240" w:before="0" w:after="0"/>
        <w:ind w:hanging="284" w:start="284" w:end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202</w:t>
      </w:r>
      <w:r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>-202</w:t>
      </w:r>
      <w:r>
        <w:rPr>
          <w:rFonts w:ascii="Times New Roman" w:hAnsi="Times New Roman"/>
          <w:sz w:val="28"/>
        </w:rPr>
        <w:t>8</w:t>
      </w:r>
      <w:r>
        <w:rPr>
          <w:rFonts w:ascii="Times New Roman" w:hAnsi="Times New Roman"/>
          <w:sz w:val="28"/>
        </w:rPr>
        <w:t xml:space="preserve"> годы»</w:t>
      </w:r>
    </w:p>
    <w:p>
      <w:pPr>
        <w:pStyle w:val="Normal"/>
        <w:spacing w:lineRule="auto" w:line="240" w:before="0" w:after="0"/>
        <w:ind w:hanging="284" w:start="284" w:end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tbl>
      <w:tblPr>
        <w:tblStyle w:val="Style_2"/>
        <w:tblW w:w="9345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3538"/>
        <w:gridCol w:w="5807"/>
      </w:tblGrid>
      <w:tr>
        <w:trPr>
          <w:trHeight w:val="641" w:hRule="atLeast"/>
        </w:trPr>
        <w:tc>
          <w:tcPr>
            <w:tcW w:w="3538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star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5807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star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Администрация муниципального образования «Ключевский сельсовет»</w:t>
            </w:r>
          </w:p>
        </w:tc>
      </w:tr>
      <w:tr>
        <w:trPr/>
        <w:tc>
          <w:tcPr>
            <w:tcW w:w="3538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star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Соисполнители муниципальной программы</w:t>
            </w:r>
          </w:p>
        </w:tc>
        <w:tc>
          <w:tcPr>
            <w:tcW w:w="5807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star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Отсутствует</w:t>
            </w:r>
          </w:p>
        </w:tc>
      </w:tr>
      <w:tr>
        <w:trPr/>
        <w:tc>
          <w:tcPr>
            <w:tcW w:w="3538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star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Перечень подпрограмм</w:t>
            </w:r>
          </w:p>
        </w:tc>
        <w:tc>
          <w:tcPr>
            <w:tcW w:w="5807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284" w:start="284" w:end="0"/>
              <w:jc w:val="star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Отсутствует</w:t>
            </w:r>
          </w:p>
        </w:tc>
      </w:tr>
      <w:tr>
        <w:trPr/>
        <w:tc>
          <w:tcPr>
            <w:tcW w:w="3538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star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Цели муниципальной программы</w:t>
            </w:r>
          </w:p>
        </w:tc>
        <w:tc>
          <w:tcPr>
            <w:tcW w:w="5807" w:type="dxa"/>
            <w:tcBorders/>
          </w:tcPr>
          <w:p>
            <w:pPr>
              <w:pStyle w:val="ListParagraph1"/>
              <w:widowControl/>
              <w:numPr>
                <w:ilvl w:val="0"/>
                <w:numId w:val="1"/>
              </w:numPr>
              <w:spacing w:lineRule="auto" w:line="240" w:before="0" w:after="0"/>
              <w:ind w:hanging="284" w:start="284" w:end="0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 xml:space="preserve">Создание организационных основ для реализации системы мер по энергосбережению и повышению энергоэффективности; </w:t>
            </w:r>
          </w:p>
          <w:p>
            <w:pPr>
              <w:pStyle w:val="ListParagraph1"/>
              <w:widowControl/>
              <w:numPr>
                <w:ilvl w:val="0"/>
                <w:numId w:val="1"/>
              </w:numPr>
              <w:spacing w:lineRule="auto" w:line="240" w:before="0" w:after="0"/>
              <w:ind w:hanging="284" w:start="284" w:end="0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Снижение показателей энергоемкости и энергопотребления учреждений, предприятий и организаций</w:t>
            </w:r>
          </w:p>
        </w:tc>
      </w:tr>
      <w:tr>
        <w:trPr/>
        <w:tc>
          <w:tcPr>
            <w:tcW w:w="3538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star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Задачи муниципальной программы</w:t>
            </w:r>
          </w:p>
        </w:tc>
        <w:tc>
          <w:tcPr>
            <w:tcW w:w="5807" w:type="dxa"/>
            <w:tcBorders/>
          </w:tcPr>
          <w:p>
            <w:pPr>
              <w:pStyle w:val="ListParagraph1"/>
              <w:widowControl/>
              <w:numPr>
                <w:ilvl w:val="0"/>
                <w:numId w:val="2"/>
              </w:numPr>
              <w:spacing w:lineRule="auto" w:line="240" w:before="0" w:after="0"/>
              <w:ind w:hanging="0" w:start="317" w:end="0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Проведение комплекса организационно-правовых мероприятий по управлению энергосбережением, в том числе создание системы показателей, характеризующих энергетическую эффективность при потреблении энергетических ресурсов, их мониторинга, а также сбора и анализа информации об энергоемкости экономики муниципального образования;</w:t>
            </w:r>
          </w:p>
          <w:p>
            <w:pPr>
              <w:pStyle w:val="ListParagraph1"/>
              <w:widowControl/>
              <w:numPr>
                <w:ilvl w:val="0"/>
                <w:numId w:val="2"/>
              </w:numPr>
              <w:spacing w:lineRule="auto" w:line="240" w:before="0" w:after="0"/>
              <w:ind w:hanging="283" w:start="317" w:end="0"/>
              <w:contextualSpacing/>
              <w:jc w:val="star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 xml:space="preserve">Разработка и реализация мероприятий, направленных на энергосбережение и повышение энергетической эффективности учреждений; </w:t>
            </w:r>
          </w:p>
          <w:p>
            <w:pPr>
              <w:pStyle w:val="ListParagraph1"/>
              <w:widowControl/>
              <w:numPr>
                <w:ilvl w:val="0"/>
                <w:numId w:val="2"/>
              </w:numPr>
              <w:spacing w:lineRule="auto" w:line="240" w:before="0" w:after="0"/>
              <w:ind w:hanging="283" w:start="317" w:end="0"/>
              <w:contextualSpacing/>
              <w:jc w:val="star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Обеспечение учета объемов потребления ТЭР и воды с использованием приборов учета.</w:t>
            </w:r>
          </w:p>
        </w:tc>
      </w:tr>
      <w:tr>
        <w:trPr/>
        <w:tc>
          <w:tcPr>
            <w:tcW w:w="3538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star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Этапы и сроки реализации муниципальной программы</w:t>
            </w:r>
          </w:p>
        </w:tc>
        <w:tc>
          <w:tcPr>
            <w:tcW w:w="5807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284" w:start="284" w:end="0"/>
              <w:jc w:val="star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202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6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-202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8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 xml:space="preserve"> годы</w:t>
            </w:r>
          </w:p>
        </w:tc>
      </w:tr>
      <w:tr>
        <w:trPr/>
        <w:tc>
          <w:tcPr>
            <w:tcW w:w="3538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star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Объем бюджетных ассигнований на реализацию муниципальной программы</w:t>
            </w:r>
          </w:p>
        </w:tc>
        <w:tc>
          <w:tcPr>
            <w:tcW w:w="5807" w:type="dxa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284" w:start="284" w:end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Всего 99 тыс. рублей, из них:</w:t>
            </w:r>
          </w:p>
          <w:p>
            <w:pPr>
              <w:pStyle w:val="Normal"/>
              <w:widowControl/>
              <w:spacing w:lineRule="auto" w:line="240" w:before="0" w:after="0"/>
              <w:ind w:hanging="284" w:start="284" w:end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 xml:space="preserve">- объем финансирования из МО «Ключевский сельсовет»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15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 xml:space="preserve"> тыс. рублей, в том числе:</w:t>
            </w:r>
          </w:p>
          <w:p>
            <w:pPr>
              <w:pStyle w:val="Normal"/>
              <w:widowControl/>
              <w:spacing w:lineRule="auto" w:line="240" w:before="0" w:after="0"/>
              <w:ind w:hanging="284" w:start="284" w:end="0"/>
              <w:jc w:val="both"/>
              <w:rPr>
                <w:rFonts w:ascii="Calibri" w:hAnsi="Calibri"/>
                <w:color w:val="000000"/>
                <w:spacing w:val="0"/>
                <w:kern w:val="0"/>
                <w:sz w:val="22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202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6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 xml:space="preserve">г. - 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 xml:space="preserve">5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тыс. рублей;</w:t>
            </w:r>
          </w:p>
          <w:p>
            <w:pPr>
              <w:pStyle w:val="Normal"/>
              <w:widowControl/>
              <w:spacing w:lineRule="auto" w:line="240" w:before="0" w:after="0"/>
              <w:ind w:hanging="284" w:start="284" w:end="0"/>
              <w:jc w:val="both"/>
              <w:rPr>
                <w:rFonts w:ascii="Calibri" w:hAnsi="Calibri"/>
                <w:color w:val="000000"/>
                <w:spacing w:val="0"/>
                <w:kern w:val="0"/>
                <w:sz w:val="22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202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7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 xml:space="preserve">г. - 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5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 xml:space="preserve"> тыс. рублей;</w:t>
            </w:r>
          </w:p>
          <w:p>
            <w:pPr>
              <w:pStyle w:val="Normal"/>
              <w:widowControl/>
              <w:spacing w:lineRule="auto" w:line="240" w:before="0" w:after="0"/>
              <w:ind w:hanging="284" w:start="284" w:end="0"/>
              <w:jc w:val="both"/>
              <w:rPr>
                <w:rFonts w:ascii="Calibri" w:hAnsi="Calibri"/>
                <w:color w:val="000000"/>
                <w:spacing w:val="0"/>
                <w:kern w:val="0"/>
                <w:sz w:val="22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202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8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 xml:space="preserve">г. - 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5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 xml:space="preserve"> тыс. рублей</w:t>
            </w:r>
          </w:p>
        </w:tc>
      </w:tr>
      <w:tr>
        <w:trPr>
          <w:trHeight w:val="2542" w:hRule="atLeast"/>
        </w:trPr>
        <w:tc>
          <w:tcPr>
            <w:tcW w:w="3538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star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Ожидаемые результаты реализации муниципальной программы</w:t>
            </w:r>
          </w:p>
        </w:tc>
        <w:tc>
          <w:tcPr>
            <w:tcW w:w="5807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34" w:end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1.Снижение показателей энергоемкости и энергопотребления;</w:t>
            </w:r>
          </w:p>
          <w:p>
            <w:pPr>
              <w:pStyle w:val="Normal"/>
              <w:widowControl/>
              <w:spacing w:lineRule="auto" w:line="240" w:before="0" w:after="0"/>
              <w:ind w:hanging="0" w:start="34" w:end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2 Повышение эффективности использования топлива и воды в секторе ЖКХ муниципального образования;</w:t>
            </w:r>
          </w:p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3 Обеспечение учета объектов потребляемых энергетических ресурсов и воды с использованием приборов учета.</w:t>
            </w:r>
          </w:p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ListParagraph1"/>
        <w:numPr>
          <w:ilvl w:val="0"/>
          <w:numId w:val="3"/>
        </w:numPr>
        <w:ind w:hanging="360" w:start="720" w:end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ОБЩИЕ СВЕДЕНИЯ О КЛЮЧЕВСКОМ</w:t>
      </w:r>
    </w:p>
    <w:p>
      <w:pPr>
        <w:pStyle w:val="ListParagraph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СЕЛЬСКОМ СОВЕТЕ</w:t>
      </w:r>
    </w:p>
    <w:p>
      <w:pPr>
        <w:pStyle w:val="Normal"/>
        <w:spacing w:lineRule="auto" w:line="360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Ключевский сельсовет располагается на востоке Курской области и входит в состав Горшеченского района Курской области. </w:t>
      </w:r>
    </w:p>
    <w:p>
      <w:pPr>
        <w:pStyle w:val="Normal"/>
        <w:spacing w:lineRule="auto" w:line="360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ИНН </w:t>
      </w:r>
      <w:r>
        <w:rPr>
          <w:rFonts w:ascii="Times New Roman" w:hAnsi="Times New Roman"/>
          <w:color w:val="333333"/>
          <w:sz w:val="28"/>
          <w:highlight w:val="white"/>
        </w:rPr>
        <w:t>4604000875</w:t>
      </w:r>
    </w:p>
    <w:p>
      <w:pPr>
        <w:pStyle w:val="Normal"/>
        <w:spacing w:lineRule="auto" w:line="360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КПП </w:t>
      </w:r>
      <w:r>
        <w:rPr>
          <w:rFonts w:ascii="Times New Roman" w:hAnsi="Times New Roman"/>
          <w:color w:val="333333"/>
          <w:sz w:val="28"/>
          <w:highlight w:val="white"/>
        </w:rPr>
        <w:t>460401001</w:t>
      </w:r>
    </w:p>
    <w:p>
      <w:pPr>
        <w:pStyle w:val="Normal"/>
        <w:spacing w:lineRule="auto" w:line="360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ОГРН </w:t>
      </w:r>
      <w:r>
        <w:rPr>
          <w:rFonts w:ascii="Times New Roman" w:hAnsi="Times New Roman"/>
          <w:color w:val="333333"/>
          <w:sz w:val="28"/>
          <w:highlight w:val="white"/>
        </w:rPr>
        <w:t>1024600580795</w:t>
      </w:r>
    </w:p>
    <w:p>
      <w:pPr>
        <w:pStyle w:val="Normal"/>
        <w:spacing w:lineRule="auto" w:line="360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Административный центр село Ключ.</w:t>
      </w:r>
    </w:p>
    <w:p>
      <w:pPr>
        <w:pStyle w:val="Normal"/>
        <w:spacing w:lineRule="auto" w:line="360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Адрес администрации: </w:t>
      </w:r>
      <w:r>
        <w:rPr>
          <w:rFonts w:ascii="Times New Roman" w:hAnsi="Times New Roman"/>
          <w:color w:val="252525"/>
          <w:sz w:val="28"/>
          <w:highlight w:val="white"/>
        </w:rPr>
        <w:t>Курская область, Горшеченский р-он, с.Ключ, ул. Центральная, д. 17 б.</w:t>
      </w:r>
    </w:p>
    <w:p>
      <w:pPr>
        <w:pStyle w:val="Normal"/>
        <w:spacing w:lineRule="auto" w:line="360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Телефон администрации: +7</w:t>
      </w:r>
      <w:r>
        <w:rPr>
          <w:rFonts w:ascii="Times New Roman" w:hAnsi="Times New Roman"/>
          <w:color w:val="252525"/>
          <w:sz w:val="28"/>
          <w:highlight w:val="white"/>
        </w:rPr>
        <w:t>(47133) 3-35-18</w:t>
      </w:r>
      <w:r>
        <w:rPr>
          <w:rFonts w:ascii="Times New Roman" w:hAnsi="Times New Roman"/>
          <w:sz w:val="28"/>
        </w:rPr>
        <w:t>.</w:t>
      </w:r>
    </w:p>
    <w:p>
      <w:pPr>
        <w:pStyle w:val="Normal"/>
        <w:spacing w:lineRule="auto" w:line="360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Электронная почта: </w:t>
      </w:r>
      <w:r>
        <w:rPr>
          <w:rFonts w:ascii="Times New Roman" w:hAnsi="Times New Roman"/>
          <w:color w:val="252525"/>
          <w:sz w:val="28"/>
          <w:highlight w:val="white"/>
        </w:rPr>
        <w:t>klesh.159@yandex.ru</w:t>
      </w:r>
    </w:p>
    <w:p>
      <w:pPr>
        <w:pStyle w:val="Normal"/>
        <w:spacing w:lineRule="auto" w:line="360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Площадь Ключевского сельсовета составляет 86 км</w:t>
      </w:r>
      <w:r>
        <w:rPr>
          <w:rFonts w:ascii="Times New Roman" w:hAnsi="Times New Roman"/>
          <w:sz w:val="28"/>
          <w:vertAlign w:val="superscript"/>
        </w:rPr>
        <w:t>2</w:t>
      </w:r>
      <w:r>
        <w:rPr>
          <w:rFonts w:ascii="Times New Roman" w:hAnsi="Times New Roman"/>
          <w:sz w:val="28"/>
        </w:rPr>
        <w:t xml:space="preserve"> и малозаселена с плотностью проживания 4,7 человек на один квадратный километр.</w:t>
      </w:r>
    </w:p>
    <w:p>
      <w:pPr>
        <w:pStyle w:val="Normal"/>
        <w:spacing w:lineRule="auto" w:line="360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состав Ключевского сельсовета входят следующие населенные пункты:</w:t>
      </w:r>
    </w:p>
    <w:p>
      <w:pPr>
        <w:pStyle w:val="Normal"/>
        <w:spacing w:lineRule="auto" w:line="360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Таблица 1</w:t>
      </w:r>
    </w:p>
    <w:tbl>
      <w:tblPr>
        <w:tblStyle w:val="Style_6"/>
        <w:tblW w:w="9201" w:type="dxa"/>
        <w:jc w:val="start"/>
        <w:tblInd w:w="238" w:type="dxa"/>
        <w:tblLayout w:type="fixed"/>
        <w:tblCellMar>
          <w:top w:w="48" w:type="dxa"/>
          <w:start w:w="96" w:type="dxa"/>
          <w:bottom w:w="48" w:type="dxa"/>
          <w:end w:w="96" w:type="dxa"/>
        </w:tblCellMar>
      </w:tblPr>
      <w:tblGrid>
        <w:gridCol w:w="421"/>
        <w:gridCol w:w="4528"/>
        <w:gridCol w:w="4252"/>
      </w:tblGrid>
      <w:tr>
        <w:trPr/>
        <w:tc>
          <w:tcPr>
            <w:tcW w:w="4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color w:val="202122"/>
                <w:sz w:val="24"/>
              </w:rPr>
            </w:pPr>
            <w:r>
              <w:rPr>
                <w:rFonts w:ascii="Times New Roman" w:hAnsi="Times New Roman"/>
                <w:color w:val="202122"/>
                <w:spacing w:val="0"/>
                <w:kern w:val="0"/>
                <w:sz w:val="24"/>
                <w:szCs w:val="20"/>
              </w:rPr>
              <w:t>№</w:t>
            </w:r>
          </w:p>
        </w:tc>
        <w:tc>
          <w:tcPr>
            <w:tcW w:w="4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start"/>
              <w:rPr>
                <w:rFonts w:ascii="Times New Roman" w:hAnsi="Times New Roman"/>
                <w:color w:val="202122"/>
                <w:sz w:val="24"/>
              </w:rPr>
            </w:pPr>
            <w:r>
              <w:rPr>
                <w:rFonts w:ascii="Times New Roman" w:hAnsi="Times New Roman"/>
                <w:color w:val="202122"/>
                <w:spacing w:val="0"/>
                <w:kern w:val="0"/>
                <w:sz w:val="24"/>
                <w:szCs w:val="20"/>
              </w:rPr>
              <w:t>Наименование населенных пунктов</w:t>
            </w:r>
          </w:p>
        </w:tc>
        <w:tc>
          <w:tcPr>
            <w:tcW w:w="42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start"/>
              <w:rPr>
                <w:rFonts w:ascii="Times New Roman" w:hAnsi="Times New Roman"/>
                <w:color w:val="202122"/>
                <w:sz w:val="24"/>
              </w:rPr>
            </w:pPr>
            <w:r>
              <w:rPr>
                <w:rFonts w:ascii="Times New Roman" w:hAnsi="Times New Roman"/>
                <w:color w:val="202122"/>
                <w:spacing w:val="0"/>
                <w:kern w:val="0"/>
                <w:sz w:val="24"/>
                <w:szCs w:val="20"/>
              </w:rPr>
              <w:t>Тип населенного пункта</w:t>
            </w:r>
          </w:p>
        </w:tc>
      </w:tr>
      <w:tr>
        <w:trPr>
          <w:trHeight w:val="378" w:hRule="atLeast"/>
        </w:trPr>
        <w:tc>
          <w:tcPr>
            <w:tcW w:w="4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color w:val="202122"/>
                <w:sz w:val="24"/>
              </w:rPr>
            </w:pPr>
            <w:r>
              <w:rPr>
                <w:rFonts w:ascii="Times New Roman" w:hAnsi="Times New Roman"/>
                <w:color w:val="202122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4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color w:val="202122"/>
                <w:sz w:val="24"/>
              </w:rPr>
            </w:pPr>
            <w:r>
              <w:rPr>
                <w:rFonts w:ascii="Times New Roman" w:hAnsi="Times New Roman"/>
                <w:color w:val="202122"/>
                <w:spacing w:val="0"/>
                <w:kern w:val="0"/>
                <w:sz w:val="24"/>
                <w:szCs w:val="20"/>
              </w:rPr>
              <w:t>Быстрик</w:t>
            </w:r>
          </w:p>
        </w:tc>
        <w:tc>
          <w:tcPr>
            <w:tcW w:w="42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color w:val="202122"/>
                <w:sz w:val="24"/>
              </w:rPr>
            </w:pPr>
            <w:r>
              <w:rPr>
                <w:rFonts w:ascii="Times New Roman" w:hAnsi="Times New Roman"/>
                <w:color w:val="202122"/>
                <w:spacing w:val="0"/>
                <w:kern w:val="0"/>
                <w:sz w:val="24"/>
                <w:szCs w:val="20"/>
              </w:rPr>
              <w:t>деревня</w:t>
            </w:r>
          </w:p>
        </w:tc>
      </w:tr>
      <w:tr>
        <w:trPr/>
        <w:tc>
          <w:tcPr>
            <w:tcW w:w="4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color w:val="202122"/>
                <w:sz w:val="24"/>
              </w:rPr>
            </w:pPr>
            <w:r>
              <w:rPr>
                <w:rFonts w:ascii="Times New Roman" w:hAnsi="Times New Roman"/>
                <w:color w:val="202122"/>
                <w:spacing w:val="0"/>
                <w:kern w:val="0"/>
                <w:sz w:val="24"/>
                <w:szCs w:val="20"/>
              </w:rPr>
              <w:t>2</w:t>
            </w:r>
          </w:p>
        </w:tc>
        <w:tc>
          <w:tcPr>
            <w:tcW w:w="4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color w:val="202122"/>
                <w:sz w:val="24"/>
              </w:rPr>
            </w:pPr>
            <w:r>
              <w:rPr>
                <w:rFonts w:ascii="Times New Roman" w:hAnsi="Times New Roman"/>
                <w:color w:val="202122"/>
                <w:spacing w:val="0"/>
                <w:kern w:val="0"/>
                <w:sz w:val="24"/>
                <w:szCs w:val="20"/>
              </w:rPr>
              <w:t>Ключ</w:t>
            </w:r>
          </w:p>
        </w:tc>
        <w:tc>
          <w:tcPr>
            <w:tcW w:w="42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color w:val="202122"/>
                <w:sz w:val="24"/>
              </w:rPr>
            </w:pPr>
            <w:r>
              <w:rPr>
                <w:rFonts w:ascii="Times New Roman" w:hAnsi="Times New Roman"/>
                <w:color w:val="202122"/>
                <w:spacing w:val="0"/>
                <w:kern w:val="0"/>
                <w:sz w:val="24"/>
                <w:szCs w:val="20"/>
              </w:rPr>
              <w:t>село</w:t>
            </w:r>
          </w:p>
        </w:tc>
      </w:tr>
    </w:tbl>
    <w:p>
      <w:pPr>
        <w:pStyle w:val="Normal"/>
        <w:spacing w:lineRule="auto" w:line="276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76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территории муниципального образования Ключевский сельсовет развито только производство сельскохозяйственной продукции. В сельскохозяйственном секторе муниципального образования действуют агропредприятия и фермерские хозяйства. Отсутствие промышленных предприятий и использование в сельскохозяйственном секторе высокоэффективных методов ведения земледелия не способствует созданию новых рабочих мест, в связи с чем на территории Ключевского сельсовета сокращается число проживающих:</w:t>
      </w:r>
    </w:p>
    <w:p>
      <w:pPr>
        <w:pStyle w:val="Normal"/>
        <w:spacing w:lineRule="auto" w:line="276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2021 – 408 человек;</w:t>
      </w:r>
    </w:p>
    <w:p>
      <w:pPr>
        <w:pStyle w:val="Normal"/>
        <w:spacing w:lineRule="auto" w:line="276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2026 -180 человек.</w:t>
      </w:r>
    </w:p>
    <w:p>
      <w:pPr>
        <w:pStyle w:val="Normal"/>
        <w:spacing w:lineRule="auto" w:line="360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ListParagraph1"/>
        <w:numPr>
          <w:ilvl w:val="0"/>
          <w:numId w:val="3"/>
        </w:numPr>
        <w:spacing w:lineRule="auto" w:line="360" w:before="0" w:after="0"/>
        <w:ind w:hanging="360" w:start="720" w:end="0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ОСНОВАНИЯ ДЛЯ РАЗРАБОТКИ МУНИЦИПАЛЬНОЙ ПРОГРАММЫ</w:t>
      </w:r>
    </w:p>
    <w:p>
      <w:pPr>
        <w:pStyle w:val="Normal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Программа разработана в рамках действующего законодательства:</w:t>
      </w:r>
    </w:p>
    <w:p>
      <w:pPr>
        <w:pStyle w:val="Normal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ФЗ от 23.11.2009г. №261-ФЗ «Об энергосбережении и о повышении энергетической эффективности и о внесении изменений в отдельные законодательные акты РФ (в ред. от 29.07.2016г.);</w:t>
      </w:r>
    </w:p>
    <w:p>
      <w:pPr>
        <w:pStyle w:val="Normal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Постановление Правительства РФ от 11.02.2021г. № 161 «Об утверждении требований к региональным и муниципальным программам в области энергосбережения и повышения энергетической эффективности и о признании утратившим силу некоторых актов Правительства Российской Федерации и отдельных положений некоторых актов Правительства Российской Федерации»;</w:t>
      </w:r>
    </w:p>
    <w:p>
      <w:pPr>
        <w:pStyle w:val="Normal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Приказ Минэкономразвития России от 28.04.2021г. №231 «Об утверждении методики расчета значений целевых показателей в области энергосбережения и повышения энергетической эффективности, достижение которых обеспечивается в результате реализации региональных и муниципальных программ в области энергосбережения и повышения энергоэффективности.</w:t>
      </w:r>
    </w:p>
    <w:p>
      <w:pPr>
        <w:pStyle w:val="Normal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Распоряжение Администрации Курской области от 03.02.2022 г. №53-ра «Об организации Администрацией Курской области работы по реализации государственной политики в сфере энергосбережения и повышения энергоэффективности»</w:t>
      </w:r>
    </w:p>
    <w:p>
      <w:pPr>
        <w:pStyle w:val="Normal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ListParagraph1"/>
        <w:numPr>
          <w:ilvl w:val="0"/>
          <w:numId w:val="3"/>
        </w:numPr>
        <w:spacing w:lineRule="auto" w:line="276" w:before="0" w:after="0"/>
        <w:ind w:hanging="357" w:start="714" w:end="0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ОБЩАЯ ХАРАКТЕРИСТИКА ТЕКУЩЕГО СОСТОЯНИЯ СФЕРЫ ДЕЯТЕЛЬНОСТИ МУНИЦИПАЛЬНОГО ОБРАЗОВАНИЯ, В РАМКАХ КОТОРОЙ РЕАЛИЗУЕТСЯ ПРОГРАММА</w:t>
      </w:r>
    </w:p>
    <w:p>
      <w:pPr>
        <w:pStyle w:val="ListParagraph1"/>
        <w:spacing w:lineRule="auto" w:line="240" w:before="0" w:after="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границах Ключевского сельсовета вопросы электроснабжения и газоснабжения отнесены к полномочиям Горшеченского района.</w:t>
      </w:r>
    </w:p>
    <w:p>
      <w:pPr>
        <w:pStyle w:val="Normal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территории сельского совета находятся в пользовании и находящиеся в собственности Ключевского сельсовета здания и сооружения.</w:t>
      </w:r>
    </w:p>
    <w:p>
      <w:pPr>
        <w:pStyle w:val="Normal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Таблица 2</w:t>
      </w:r>
    </w:p>
    <w:tbl>
      <w:tblPr>
        <w:tblStyle w:val="Style_2"/>
        <w:tblW w:w="9345" w:type="dxa"/>
        <w:jc w:val="start"/>
        <w:tblInd w:w="392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703"/>
        <w:gridCol w:w="3035"/>
        <w:gridCol w:w="1869"/>
        <w:gridCol w:w="1869"/>
        <w:gridCol w:w="1869"/>
      </w:tblGrid>
      <w:tr>
        <w:trPr/>
        <w:tc>
          <w:tcPr>
            <w:tcW w:w="70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№</w:t>
            </w:r>
          </w:p>
        </w:tc>
        <w:tc>
          <w:tcPr>
            <w:tcW w:w="303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Наименование зданий и сооружений</w:t>
            </w:r>
          </w:p>
        </w:tc>
        <w:tc>
          <w:tcPr>
            <w:tcW w:w="1869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Год постройки</w:t>
            </w:r>
          </w:p>
        </w:tc>
        <w:tc>
          <w:tcPr>
            <w:tcW w:w="1869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Ограждающие конструкции (кирпичные, ж/б панели)</w:t>
            </w:r>
          </w:p>
        </w:tc>
        <w:tc>
          <w:tcPr>
            <w:tcW w:w="1869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Площадь</w:t>
            </w:r>
          </w:p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sz w:val="24"/>
                <w:vertAlign w:val="superscript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  <w:vertAlign w:val="superscript"/>
              </w:rPr>
              <w:t>2</w:t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303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Администрация Ключевского сельсовета</w:t>
            </w:r>
          </w:p>
        </w:tc>
        <w:tc>
          <w:tcPr>
            <w:tcW w:w="1869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1962</w:t>
            </w:r>
          </w:p>
        </w:tc>
        <w:tc>
          <w:tcPr>
            <w:tcW w:w="1869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869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450</w:t>
            </w:r>
          </w:p>
        </w:tc>
      </w:tr>
      <w:tr>
        <w:trPr/>
        <w:tc>
          <w:tcPr>
            <w:tcW w:w="7476" w:type="dxa"/>
            <w:gridSpan w:val="4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end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Всего:</w:t>
            </w:r>
          </w:p>
        </w:tc>
        <w:tc>
          <w:tcPr>
            <w:tcW w:w="1869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450</w:t>
            </w:r>
          </w:p>
        </w:tc>
      </w:tr>
    </w:tbl>
    <w:p>
      <w:pPr>
        <w:pStyle w:val="Normal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Рассматриваются здания, подлежащие анализу по снижению потребления ТЭР согласно приказа Минэкономразвития России от 15 июля 2020 года № 425 «Об утверждении методических рекомендаций по определению целевого уровня снижения потребления государственными (муниципальными) учреждениями суммарного объема потребляемых ими энергетических ресурсов и воды».</w:t>
      </w:r>
    </w:p>
    <w:p>
      <w:pPr>
        <w:pStyle w:val="Normal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Таблица 3 - Сведения об объемах потребления ТЭР и воды объектами муниципальной собственности Ключевского сельсовета в 202</w:t>
      </w: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 году</w:t>
      </w:r>
    </w:p>
    <w:tbl>
      <w:tblPr>
        <w:tblStyle w:val="Style_2"/>
        <w:tblW w:w="9492" w:type="dxa"/>
        <w:jc w:val="start"/>
        <w:tblInd w:w="392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63"/>
        <w:gridCol w:w="1847"/>
        <w:gridCol w:w="1270"/>
        <w:gridCol w:w="1565"/>
        <w:gridCol w:w="1192"/>
        <w:gridCol w:w="1018"/>
        <w:gridCol w:w="1017"/>
        <w:gridCol w:w="1020"/>
      </w:tblGrid>
      <w:tr>
        <w:trPr/>
        <w:tc>
          <w:tcPr>
            <w:tcW w:w="563" w:type="dxa"/>
            <w:vMerge w:val="restart"/>
            <w:tcBorders/>
          </w:tcPr>
          <w:p>
            <w:pPr>
              <w:pStyle w:val="ListParagraph1"/>
              <w:widowControl/>
              <w:spacing w:lineRule="auto" w:line="240" w:before="0" w:after="0"/>
              <w:ind w:hanging="0" w:start="0" w:end="0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№</w:t>
            </w:r>
          </w:p>
        </w:tc>
        <w:tc>
          <w:tcPr>
            <w:tcW w:w="1847" w:type="dxa"/>
            <w:vMerge w:val="restart"/>
            <w:tcBorders/>
          </w:tcPr>
          <w:p>
            <w:pPr>
              <w:pStyle w:val="ListParagraph1"/>
              <w:widowControl/>
              <w:spacing w:lineRule="auto" w:line="240" w:before="0" w:after="0"/>
              <w:ind w:hanging="0" w:start="0" w:end="0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Наименование зданий и сооружений</w:t>
            </w:r>
          </w:p>
        </w:tc>
        <w:tc>
          <w:tcPr>
            <w:tcW w:w="7082" w:type="dxa"/>
            <w:gridSpan w:val="6"/>
            <w:tcBorders/>
          </w:tcPr>
          <w:p>
            <w:pPr>
              <w:pStyle w:val="ListParagraph1"/>
              <w:widowControl/>
              <w:spacing w:lineRule="auto" w:line="240" w:before="0" w:after="0"/>
              <w:ind w:hanging="0" w:start="0" w:end="0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Вид ТЭР</w:t>
            </w:r>
          </w:p>
        </w:tc>
      </w:tr>
      <w:tr>
        <w:trPr>
          <w:trHeight w:val="1633" w:hRule="atLeast"/>
        </w:trPr>
        <w:tc>
          <w:tcPr>
            <w:tcW w:w="563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start"/>
              <w:rPr>
                <w:rFonts w:ascii="Calibri" w:hAnsi="Calibri"/>
                <w:color w:val="000000"/>
                <w:spacing w:val="0"/>
                <w:kern w:val="0"/>
                <w:sz w:val="22"/>
                <w:szCs w:val="20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  <w:tc>
          <w:tcPr>
            <w:tcW w:w="1847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start"/>
              <w:rPr>
                <w:rFonts w:ascii="Calibri" w:hAnsi="Calibri"/>
                <w:color w:val="000000"/>
                <w:spacing w:val="0"/>
                <w:kern w:val="0"/>
                <w:sz w:val="22"/>
                <w:szCs w:val="20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  <w:tc>
          <w:tcPr>
            <w:tcW w:w="1270" w:type="dxa"/>
            <w:tcBorders/>
            <w:textDirection w:val="btLr"/>
          </w:tcPr>
          <w:p>
            <w:pPr>
              <w:pStyle w:val="ListParagraph1"/>
              <w:widowControl/>
              <w:spacing w:lineRule="auto" w:line="240" w:before="0" w:after="0"/>
              <w:ind w:hanging="0" w:start="113" w:end="113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Электрическая энергия тыс. кВт*час</w:t>
            </w:r>
          </w:p>
        </w:tc>
        <w:tc>
          <w:tcPr>
            <w:tcW w:w="1565" w:type="dxa"/>
            <w:tcBorders/>
            <w:textDirection w:val="btLr"/>
          </w:tcPr>
          <w:p>
            <w:pPr>
              <w:pStyle w:val="ListParagraph1"/>
              <w:widowControl/>
              <w:spacing w:lineRule="auto" w:line="240" w:before="0" w:after="0"/>
              <w:ind w:hanging="0" w:start="113" w:end="113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Газ</w:t>
            </w:r>
          </w:p>
          <w:p>
            <w:pPr>
              <w:pStyle w:val="ListParagraph1"/>
              <w:widowControl/>
              <w:spacing w:lineRule="auto" w:line="240" w:before="0" w:after="0"/>
              <w:ind w:hanging="0" w:start="113" w:end="113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Тыс.м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  <w:vertAlign w:val="superscript"/>
              </w:rPr>
              <w:t>3</w:t>
            </w:r>
          </w:p>
        </w:tc>
        <w:tc>
          <w:tcPr>
            <w:tcW w:w="1192" w:type="dxa"/>
            <w:tcBorders/>
            <w:textDirection w:val="btLr"/>
          </w:tcPr>
          <w:p>
            <w:pPr>
              <w:pStyle w:val="ListParagraph1"/>
              <w:widowControl/>
              <w:spacing w:lineRule="auto" w:line="240" w:before="0" w:after="0"/>
              <w:ind w:hanging="0" w:start="113" w:end="113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Вода, м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  <w:vertAlign w:val="superscript"/>
              </w:rPr>
              <w:t>3</w:t>
            </w:r>
          </w:p>
        </w:tc>
        <w:tc>
          <w:tcPr>
            <w:tcW w:w="1018" w:type="dxa"/>
            <w:tcBorders/>
            <w:textDirection w:val="btLr"/>
          </w:tcPr>
          <w:p>
            <w:pPr>
              <w:pStyle w:val="ListParagraph1"/>
              <w:widowControl/>
              <w:spacing w:lineRule="auto" w:line="240" w:before="0" w:after="0"/>
              <w:ind w:hanging="0" w:start="113" w:end="113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Уголь, т</w:t>
            </w:r>
          </w:p>
        </w:tc>
        <w:tc>
          <w:tcPr>
            <w:tcW w:w="1017" w:type="dxa"/>
            <w:tcBorders/>
            <w:textDirection w:val="btLr"/>
          </w:tcPr>
          <w:p>
            <w:pPr>
              <w:pStyle w:val="ListParagraph1"/>
              <w:widowControl/>
              <w:spacing w:lineRule="auto" w:line="240" w:before="0" w:after="0"/>
              <w:ind w:hanging="0" w:start="113" w:end="113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Мазут, т</w:t>
            </w:r>
          </w:p>
        </w:tc>
        <w:tc>
          <w:tcPr>
            <w:tcW w:w="1020" w:type="dxa"/>
            <w:tcBorders/>
            <w:textDirection w:val="btLr"/>
          </w:tcPr>
          <w:p>
            <w:pPr>
              <w:pStyle w:val="ListParagraph1"/>
              <w:widowControl/>
              <w:spacing w:lineRule="auto" w:line="240" w:before="0" w:after="0"/>
              <w:ind w:hanging="0" w:start="113" w:end="113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Прочее топливо, т</w:t>
            </w:r>
          </w:p>
        </w:tc>
      </w:tr>
      <w:tr>
        <w:trPr/>
        <w:tc>
          <w:tcPr>
            <w:tcW w:w="563" w:type="dxa"/>
            <w:tcBorders/>
          </w:tcPr>
          <w:p>
            <w:pPr>
              <w:pStyle w:val="ListParagraph1"/>
              <w:widowControl/>
              <w:spacing w:lineRule="auto" w:line="240" w:before="0" w:after="0"/>
              <w:ind w:hanging="0" w:start="0" w:end="0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1847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Администрация Ключевского сельсовета</w:t>
            </w:r>
          </w:p>
        </w:tc>
        <w:tc>
          <w:tcPr>
            <w:tcW w:w="1270" w:type="dxa"/>
            <w:tcBorders/>
          </w:tcPr>
          <w:p>
            <w:pPr>
              <w:pStyle w:val="ListParagraph1"/>
              <w:widowControl/>
              <w:spacing w:lineRule="auto" w:line="240" w:before="0" w:after="0"/>
              <w:ind w:hanging="0" w:start="0" w:end="0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0,357</w:t>
            </w:r>
          </w:p>
        </w:tc>
        <w:tc>
          <w:tcPr>
            <w:tcW w:w="1565" w:type="dxa"/>
            <w:tcBorders/>
          </w:tcPr>
          <w:p>
            <w:pPr>
              <w:pStyle w:val="ListParagraph1"/>
              <w:widowControl/>
              <w:spacing w:lineRule="auto" w:line="240" w:before="0" w:after="0"/>
              <w:ind w:hanging="0" w:start="0" w:end="0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192" w:type="dxa"/>
            <w:tcBorders/>
          </w:tcPr>
          <w:p>
            <w:pPr>
              <w:pStyle w:val="ListParagraph1"/>
              <w:widowControl/>
              <w:spacing w:lineRule="auto" w:line="240" w:before="0" w:after="0"/>
              <w:ind w:hanging="0" w:start="0" w:end="0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018" w:type="dxa"/>
            <w:tcBorders/>
          </w:tcPr>
          <w:p>
            <w:pPr>
              <w:pStyle w:val="ListParagraph1"/>
              <w:widowControl/>
              <w:spacing w:lineRule="auto" w:line="240" w:before="0" w:after="0"/>
              <w:ind w:hanging="0" w:start="0" w:end="0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8</w:t>
            </w:r>
          </w:p>
        </w:tc>
        <w:tc>
          <w:tcPr>
            <w:tcW w:w="1017" w:type="dxa"/>
            <w:tcBorders/>
          </w:tcPr>
          <w:p>
            <w:pPr>
              <w:pStyle w:val="ListParagraph1"/>
              <w:widowControl/>
              <w:spacing w:lineRule="auto" w:line="240" w:before="0" w:after="0"/>
              <w:ind w:hanging="0" w:start="0" w:end="0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020" w:type="dxa"/>
            <w:tcBorders/>
          </w:tcPr>
          <w:p>
            <w:pPr>
              <w:pStyle w:val="ListParagraph1"/>
              <w:widowControl/>
              <w:spacing w:lineRule="auto" w:line="240" w:before="0" w:after="0"/>
              <w:ind w:hanging="0" w:start="0" w:end="0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Таблица 4 - Сведения о наличии и потребности приборов учета ТЭР и воды объектов муниципальной собственности Ключевского сельсовета</w:t>
      </w:r>
    </w:p>
    <w:tbl>
      <w:tblPr>
        <w:tblStyle w:val="Style_2"/>
        <w:tblW w:w="9345" w:type="dxa"/>
        <w:jc w:val="start"/>
        <w:tblInd w:w="392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82"/>
        <w:gridCol w:w="2065"/>
        <w:gridCol w:w="1133"/>
        <w:gridCol w:w="993"/>
        <w:gridCol w:w="1276"/>
        <w:gridCol w:w="1275"/>
        <w:gridCol w:w="1135"/>
        <w:gridCol w:w="986"/>
      </w:tblGrid>
      <w:tr>
        <w:trPr/>
        <w:tc>
          <w:tcPr>
            <w:tcW w:w="482" w:type="dxa"/>
            <w:vMerge w:val="restart"/>
            <w:tcBorders/>
          </w:tcPr>
          <w:p>
            <w:pPr>
              <w:pStyle w:val="ListParagraph1"/>
              <w:widowControl/>
              <w:spacing w:lineRule="auto" w:line="240" w:before="0" w:after="0"/>
              <w:ind w:hanging="0" w:start="0" w:end="0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№</w:t>
            </w:r>
          </w:p>
        </w:tc>
        <w:tc>
          <w:tcPr>
            <w:tcW w:w="2065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Наименование зданий и сооружений</w:t>
            </w:r>
          </w:p>
        </w:tc>
        <w:tc>
          <w:tcPr>
            <w:tcW w:w="6798" w:type="dxa"/>
            <w:gridSpan w:val="6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Приборы коммерческого учета</w:t>
            </w:r>
          </w:p>
        </w:tc>
      </w:tr>
      <w:tr>
        <w:trPr/>
        <w:tc>
          <w:tcPr>
            <w:tcW w:w="4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start"/>
              <w:rPr>
                <w:rFonts w:ascii="Calibri" w:hAnsi="Calibri"/>
                <w:color w:val="000000"/>
                <w:spacing w:val="0"/>
                <w:kern w:val="0"/>
                <w:sz w:val="22"/>
                <w:szCs w:val="20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  <w:tc>
          <w:tcPr>
            <w:tcW w:w="2065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start"/>
              <w:rPr>
                <w:rFonts w:ascii="Calibri" w:hAnsi="Calibri"/>
                <w:color w:val="000000"/>
                <w:spacing w:val="0"/>
                <w:kern w:val="0"/>
                <w:sz w:val="22"/>
                <w:szCs w:val="20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  <w:tc>
          <w:tcPr>
            <w:tcW w:w="2126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Электроэнергия</w:t>
            </w:r>
          </w:p>
        </w:tc>
        <w:tc>
          <w:tcPr>
            <w:tcW w:w="2551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Газ</w:t>
            </w:r>
          </w:p>
        </w:tc>
        <w:tc>
          <w:tcPr>
            <w:tcW w:w="2121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Вода</w:t>
            </w:r>
          </w:p>
        </w:tc>
      </w:tr>
      <w:tr>
        <w:trPr>
          <w:trHeight w:val="1498" w:hRule="atLeast"/>
        </w:trPr>
        <w:tc>
          <w:tcPr>
            <w:tcW w:w="4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start"/>
              <w:rPr>
                <w:rFonts w:ascii="Calibri" w:hAnsi="Calibri"/>
                <w:color w:val="000000"/>
                <w:spacing w:val="0"/>
                <w:kern w:val="0"/>
                <w:sz w:val="22"/>
                <w:szCs w:val="20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  <w:tc>
          <w:tcPr>
            <w:tcW w:w="2065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start"/>
              <w:rPr>
                <w:rFonts w:ascii="Calibri" w:hAnsi="Calibri"/>
                <w:color w:val="000000"/>
                <w:spacing w:val="0"/>
                <w:kern w:val="0"/>
                <w:sz w:val="22"/>
                <w:szCs w:val="20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  <w:tc>
          <w:tcPr>
            <w:tcW w:w="1133" w:type="dxa"/>
            <w:tcBorders/>
            <w:textDirection w:val="btLr"/>
          </w:tcPr>
          <w:p>
            <w:pPr>
              <w:pStyle w:val="Normal"/>
              <w:widowControl/>
              <w:spacing w:lineRule="auto" w:line="240" w:before="0" w:after="0"/>
              <w:ind w:hanging="0" w:start="113" w:end="11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Имеется</w:t>
            </w:r>
          </w:p>
        </w:tc>
        <w:tc>
          <w:tcPr>
            <w:tcW w:w="993" w:type="dxa"/>
            <w:tcBorders/>
            <w:textDirection w:val="btLr"/>
          </w:tcPr>
          <w:p>
            <w:pPr>
              <w:pStyle w:val="Normal"/>
              <w:widowControl/>
              <w:spacing w:lineRule="auto" w:line="240" w:before="0" w:after="0"/>
              <w:ind w:hanging="0" w:start="113" w:end="11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Отсутствует</w:t>
            </w:r>
          </w:p>
        </w:tc>
        <w:tc>
          <w:tcPr>
            <w:tcW w:w="1276" w:type="dxa"/>
            <w:tcBorders/>
            <w:textDirection w:val="btLr"/>
          </w:tcPr>
          <w:p>
            <w:pPr>
              <w:pStyle w:val="Normal"/>
              <w:widowControl/>
              <w:spacing w:lineRule="auto" w:line="240" w:before="0" w:after="0"/>
              <w:ind w:hanging="0" w:start="113" w:end="11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Имеется</w:t>
            </w:r>
          </w:p>
        </w:tc>
        <w:tc>
          <w:tcPr>
            <w:tcW w:w="1275" w:type="dxa"/>
            <w:tcBorders/>
            <w:textDirection w:val="btLr"/>
          </w:tcPr>
          <w:p>
            <w:pPr>
              <w:pStyle w:val="Normal"/>
              <w:widowControl/>
              <w:spacing w:lineRule="auto" w:line="240" w:before="0" w:after="0"/>
              <w:ind w:hanging="0" w:start="113" w:end="11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Отсутствует</w:t>
            </w:r>
          </w:p>
        </w:tc>
        <w:tc>
          <w:tcPr>
            <w:tcW w:w="1135" w:type="dxa"/>
            <w:tcBorders/>
            <w:textDirection w:val="btLr"/>
          </w:tcPr>
          <w:p>
            <w:pPr>
              <w:pStyle w:val="Normal"/>
              <w:widowControl/>
              <w:spacing w:lineRule="auto" w:line="240" w:before="0" w:after="0"/>
              <w:ind w:hanging="0" w:start="113" w:end="11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Имеется</w:t>
            </w:r>
          </w:p>
        </w:tc>
        <w:tc>
          <w:tcPr>
            <w:tcW w:w="986" w:type="dxa"/>
            <w:tcBorders/>
            <w:textDirection w:val="btLr"/>
          </w:tcPr>
          <w:p>
            <w:pPr>
              <w:pStyle w:val="Normal"/>
              <w:widowControl/>
              <w:spacing w:lineRule="auto" w:line="240" w:before="0" w:after="0"/>
              <w:ind w:hanging="0" w:start="113" w:end="11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Отсутствует</w:t>
            </w:r>
          </w:p>
        </w:tc>
      </w:tr>
      <w:tr>
        <w:trPr/>
        <w:tc>
          <w:tcPr>
            <w:tcW w:w="482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206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Администрация Ключевского сельсовета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имеется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986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пределах полномочий, установленных законодательством Российской Федерации Ключевский сельсовет должен уделять особое значение доступности населения к местному ресурсу – питьевой воде, которая по качеству и стоимости услуг поставки обеспечивала бы комфортность проживания населения на территории сельсовета.</w:t>
      </w:r>
    </w:p>
    <w:p>
      <w:pPr>
        <w:pStyle w:val="Normal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Таблица 5 - Объекты и показатели систем водоснабжения населенных пунктов Ключевского сельсовета за 202</w:t>
      </w: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 год</w:t>
      </w:r>
    </w:p>
    <w:tbl>
      <w:tblPr>
        <w:tblStyle w:val="Style_6"/>
        <w:tblW w:w="931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845"/>
        <w:gridCol w:w="2151"/>
        <w:gridCol w:w="798"/>
        <w:gridCol w:w="850"/>
        <w:gridCol w:w="737"/>
        <w:gridCol w:w="2097"/>
        <w:gridCol w:w="1838"/>
      </w:tblGrid>
      <w:tr>
        <w:trPr/>
        <w:tc>
          <w:tcPr>
            <w:tcW w:w="845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№</w:t>
            </w:r>
          </w:p>
        </w:tc>
        <w:tc>
          <w:tcPr>
            <w:tcW w:w="215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Наименование населенных пунктов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Характеристика объектов</w:t>
            </w:r>
          </w:p>
        </w:tc>
        <w:tc>
          <w:tcPr>
            <w:tcW w:w="2097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/>
              <w:spacing w:lineRule="auto" w:line="240" w:before="0" w:after="0"/>
              <w:ind w:hanging="0" w:start="113" w:end="113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Количество затраченной электроэнергии в 202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5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 xml:space="preserve"> г. (тыс.кВт*час)</w:t>
            </w:r>
          </w:p>
        </w:tc>
        <w:tc>
          <w:tcPr>
            <w:tcW w:w="183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/>
              <w:spacing w:lineRule="auto" w:line="240" w:before="0" w:after="0"/>
              <w:ind w:hanging="0" w:start="113" w:end="113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Количество отпущенной потребителям воды в 20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25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 xml:space="preserve"> г (тыс. м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  <w:vertAlign w:val="superscript"/>
              </w:rPr>
              <w:t>3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)</w:t>
            </w:r>
          </w:p>
        </w:tc>
      </w:tr>
      <w:tr>
        <w:trPr>
          <w:trHeight w:val="2078" w:hRule="atLeast"/>
        </w:trPr>
        <w:tc>
          <w:tcPr>
            <w:tcW w:w="84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64" w:before="0" w:after="160"/>
              <w:ind w:hanging="0" w:start="0" w:end="0"/>
              <w:jc w:val="start"/>
              <w:rPr>
                <w:rFonts w:ascii="Calibri" w:hAnsi="Calibri"/>
                <w:color w:val="000000"/>
                <w:spacing w:val="0"/>
                <w:kern w:val="0"/>
                <w:sz w:val="22"/>
                <w:szCs w:val="20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  <w:tc>
          <w:tcPr>
            <w:tcW w:w="215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64" w:before="0" w:after="160"/>
              <w:ind w:hanging="0" w:start="0" w:end="0"/>
              <w:jc w:val="start"/>
              <w:rPr>
                <w:rFonts w:ascii="Calibri" w:hAnsi="Calibri"/>
                <w:color w:val="000000"/>
                <w:spacing w:val="0"/>
                <w:kern w:val="0"/>
                <w:sz w:val="22"/>
                <w:szCs w:val="20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  <w:tc>
          <w:tcPr>
            <w:tcW w:w="7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/>
              <w:spacing w:lineRule="auto" w:line="240" w:before="0" w:after="0"/>
              <w:ind w:hanging="0" w:start="113" w:end="113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Скважина (ед.)</w:t>
            </w:r>
          </w:p>
        </w:tc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/>
              <w:spacing w:lineRule="auto" w:line="240" w:before="0" w:after="0"/>
              <w:ind w:hanging="0" w:start="113" w:end="113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Водонапорная башня (ед.)</w:t>
            </w:r>
          </w:p>
        </w:tc>
        <w:tc>
          <w:tcPr>
            <w:tcW w:w="7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/>
              <w:spacing w:lineRule="auto" w:line="240" w:before="0" w:after="0"/>
              <w:ind w:hanging="0" w:start="113" w:end="113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пожарный гидрант (ед.)</w:t>
            </w:r>
          </w:p>
        </w:tc>
        <w:tc>
          <w:tcPr>
            <w:tcW w:w="209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/>
              <w:spacing w:lineRule="auto" w:line="264" w:before="0" w:after="160"/>
              <w:ind w:hanging="0" w:start="0" w:end="0"/>
              <w:jc w:val="start"/>
              <w:rPr>
                <w:rFonts w:ascii="Calibri" w:hAnsi="Calibri"/>
                <w:color w:val="000000"/>
                <w:spacing w:val="0"/>
                <w:kern w:val="0"/>
                <w:sz w:val="22"/>
                <w:szCs w:val="20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  <w:tc>
          <w:tcPr>
            <w:tcW w:w="183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/>
              <w:spacing w:lineRule="auto" w:line="264" w:before="0" w:after="160"/>
              <w:ind w:hanging="0" w:start="0" w:end="0"/>
              <w:jc w:val="start"/>
              <w:rPr>
                <w:rFonts w:ascii="Calibri" w:hAnsi="Calibri"/>
                <w:color w:val="000000"/>
                <w:spacing w:val="0"/>
                <w:kern w:val="0"/>
                <w:sz w:val="22"/>
                <w:szCs w:val="20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</w:tr>
      <w:tr>
        <w:trPr/>
        <w:tc>
          <w:tcPr>
            <w:tcW w:w="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4"/>
              </w:numPr>
              <w:spacing w:lineRule="auto" w:line="240" w:before="0" w:after="0"/>
              <w:ind w:hanging="360" w:start="720" w:end="0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1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color w:val="202122"/>
                <w:sz w:val="24"/>
              </w:rPr>
            </w:pPr>
            <w:r>
              <w:rPr>
                <w:rFonts w:ascii="Times New Roman" w:hAnsi="Times New Roman"/>
                <w:color w:val="202122"/>
                <w:spacing w:val="0"/>
                <w:kern w:val="0"/>
                <w:sz w:val="24"/>
                <w:szCs w:val="20"/>
              </w:rPr>
              <w:t>Ключ</w:t>
            </w:r>
          </w:p>
        </w:tc>
        <w:tc>
          <w:tcPr>
            <w:tcW w:w="7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0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8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4"/>
              </w:numPr>
              <w:spacing w:lineRule="auto" w:line="240" w:before="0" w:after="0"/>
              <w:ind w:hanging="360" w:start="720" w:end="0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1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color w:val="202122"/>
                <w:sz w:val="24"/>
              </w:rPr>
            </w:pPr>
            <w:r>
              <w:rPr>
                <w:rFonts w:ascii="Times New Roman" w:hAnsi="Times New Roman"/>
                <w:color w:val="202122"/>
                <w:spacing w:val="0"/>
                <w:kern w:val="0"/>
                <w:sz w:val="24"/>
                <w:szCs w:val="20"/>
              </w:rPr>
              <w:t>Быстрик</w:t>
            </w:r>
          </w:p>
        </w:tc>
        <w:tc>
          <w:tcPr>
            <w:tcW w:w="7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0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8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Данные о количестве затраченной электроэнергии и количестве отпущенной потребителям воды отсутствуют, поскольку скважины и водонапорные башни не находятся в собственности Ключевского сельсовета.</w:t>
      </w:r>
    </w:p>
    <w:p>
      <w:pPr>
        <w:pStyle w:val="Normal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Таблица 6 - Существующая система уличного освещения Ключевского сельсовета</w:t>
      </w:r>
    </w:p>
    <w:tbl>
      <w:tblPr>
        <w:tblStyle w:val="Style_6"/>
        <w:tblW w:w="989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957"/>
        <w:gridCol w:w="1844"/>
        <w:gridCol w:w="1135"/>
        <w:gridCol w:w="850"/>
        <w:gridCol w:w="1134"/>
        <w:gridCol w:w="1986"/>
        <w:gridCol w:w="1984"/>
      </w:tblGrid>
      <w:tr>
        <w:trPr/>
        <w:tc>
          <w:tcPr>
            <w:tcW w:w="957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№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Наименование населенных пунктов</w:t>
            </w:r>
          </w:p>
        </w:tc>
        <w:tc>
          <w:tcPr>
            <w:tcW w:w="7089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Светильники</w:t>
            </w:r>
          </w:p>
        </w:tc>
      </w:tr>
      <w:tr>
        <w:trPr>
          <w:trHeight w:val="2613" w:hRule="atLeast"/>
        </w:trPr>
        <w:tc>
          <w:tcPr>
            <w:tcW w:w="95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64" w:before="0" w:after="160"/>
              <w:ind w:hanging="0" w:start="0" w:end="0"/>
              <w:jc w:val="start"/>
              <w:rPr>
                <w:rFonts w:ascii="Calibri" w:hAnsi="Calibri"/>
                <w:color w:val="000000"/>
                <w:spacing w:val="0"/>
                <w:kern w:val="0"/>
                <w:sz w:val="22"/>
                <w:szCs w:val="20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64" w:before="0" w:after="160"/>
              <w:ind w:hanging="0" w:start="0" w:end="0"/>
              <w:jc w:val="start"/>
              <w:rPr>
                <w:rFonts w:ascii="Calibri" w:hAnsi="Calibri"/>
                <w:color w:val="000000"/>
                <w:spacing w:val="0"/>
                <w:kern w:val="0"/>
                <w:sz w:val="22"/>
                <w:szCs w:val="20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  <w:tc>
          <w:tcPr>
            <w:tcW w:w="11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/>
              <w:spacing w:lineRule="auto" w:line="240" w:before="0" w:after="0"/>
              <w:ind w:hanging="0" w:start="113" w:end="11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Требующееся общее количество светильников, шт</w:t>
            </w:r>
          </w:p>
        </w:tc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/>
              <w:spacing w:lineRule="auto" w:line="240" w:before="0" w:after="0"/>
              <w:ind w:hanging="0" w:start="113" w:end="11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Фактически установлено, шт</w:t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/>
              <w:spacing w:lineRule="auto" w:line="240" w:before="0" w:after="0"/>
              <w:ind w:hanging="0" w:start="113" w:end="11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Из них энергоэкономичных, шт</w:t>
            </w:r>
          </w:p>
        </w:tc>
        <w:tc>
          <w:tcPr>
            <w:tcW w:w="19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/>
              <w:spacing w:lineRule="auto" w:line="240" w:before="0" w:after="0"/>
              <w:ind w:hanging="0" w:start="113" w:end="11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Количество светильников, работающих в автоматизированной системе (день, ночь), шт</w:t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/>
              <w:spacing w:lineRule="auto" w:line="240" w:before="0" w:after="0"/>
              <w:ind w:hanging="0" w:start="113" w:end="11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количество светильников, требующееся для освещения мест установки пожарных гидрантов</w:t>
            </w:r>
          </w:p>
        </w:tc>
      </w:tr>
      <w:tr>
        <w:trPr/>
        <w:tc>
          <w:tcPr>
            <w:tcW w:w="9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5"/>
              </w:numPr>
              <w:spacing w:lineRule="auto" w:line="240" w:before="0" w:after="0"/>
              <w:ind w:hanging="360" w:start="720" w:end="0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8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color w:val="202122"/>
                <w:sz w:val="24"/>
              </w:rPr>
            </w:pPr>
            <w:r>
              <w:rPr>
                <w:rFonts w:ascii="Times New Roman" w:hAnsi="Times New Roman"/>
                <w:color w:val="202122"/>
                <w:spacing w:val="0"/>
                <w:kern w:val="0"/>
                <w:sz w:val="24"/>
                <w:szCs w:val="20"/>
              </w:rPr>
              <w:t>Ключ</w:t>
            </w:r>
          </w:p>
        </w:tc>
        <w:tc>
          <w:tcPr>
            <w:tcW w:w="11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9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</w:tr>
      <w:tr>
        <w:trPr/>
        <w:tc>
          <w:tcPr>
            <w:tcW w:w="9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5"/>
              </w:numPr>
              <w:spacing w:lineRule="auto" w:line="240" w:before="0" w:after="0"/>
              <w:ind w:hanging="360" w:start="720" w:end="0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8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color w:val="202122"/>
                <w:sz w:val="24"/>
              </w:rPr>
            </w:pPr>
            <w:r>
              <w:rPr>
                <w:rFonts w:ascii="Times New Roman" w:hAnsi="Times New Roman"/>
                <w:color w:val="202122"/>
                <w:spacing w:val="0"/>
                <w:kern w:val="0"/>
                <w:sz w:val="24"/>
                <w:szCs w:val="20"/>
              </w:rPr>
              <w:t>Быстрик</w:t>
            </w:r>
          </w:p>
        </w:tc>
        <w:tc>
          <w:tcPr>
            <w:tcW w:w="11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9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Таблица 7 - Наличие транспортных средств на балансе сельского совета</w:t>
      </w:r>
    </w:p>
    <w:tbl>
      <w:tblPr>
        <w:tblStyle w:val="Style_2"/>
        <w:tblW w:w="9351" w:type="dxa"/>
        <w:jc w:val="start"/>
        <w:tblInd w:w="534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988"/>
        <w:gridCol w:w="4252"/>
        <w:gridCol w:w="4111"/>
      </w:tblGrid>
      <w:tr>
        <w:trPr/>
        <w:tc>
          <w:tcPr>
            <w:tcW w:w="988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№</w:t>
            </w:r>
          </w:p>
        </w:tc>
        <w:tc>
          <w:tcPr>
            <w:tcW w:w="4252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Количество и марка транспортных средств на балансе с/с. Год выпуска</w:t>
            </w:r>
          </w:p>
        </w:tc>
        <w:tc>
          <w:tcPr>
            <w:tcW w:w="4111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Количество транспортных средств, переведенных на газ или электроэнергию и другие альтернативные виды топлива, ед.</w:t>
            </w:r>
          </w:p>
        </w:tc>
      </w:tr>
      <w:tr>
        <w:trPr/>
        <w:tc>
          <w:tcPr>
            <w:tcW w:w="988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4252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Ваз 210740, 2008 года</w:t>
            </w:r>
          </w:p>
        </w:tc>
        <w:tc>
          <w:tcPr>
            <w:tcW w:w="4111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-</w:t>
            </w:r>
          </w:p>
        </w:tc>
      </w:tr>
    </w:tbl>
    <w:p>
      <w:pPr>
        <w:pStyle w:val="Normal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ListParagraph1"/>
        <w:numPr>
          <w:ilvl w:val="0"/>
          <w:numId w:val="3"/>
        </w:numPr>
        <w:spacing w:lineRule="auto" w:line="240" w:before="0" w:after="0"/>
        <w:ind w:hanging="360" w:start="720" w:end="0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ПРИОРИТЕТЫ И ЦЕЛИ МУНИЦИПАЛЬНОЙ ПРОГРАММЫ</w:t>
      </w:r>
    </w:p>
    <w:p>
      <w:pPr>
        <w:pStyle w:val="Normal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09" w:start="0" w:end="0"/>
        <w:jc w:val="both"/>
        <w:rPr>
          <w:rFonts w:ascii="Times New Roman" w:hAnsi="Times New Roman"/>
          <w:color w:val="202124"/>
          <w:sz w:val="28"/>
          <w:highlight w:val="white"/>
        </w:rPr>
      </w:pPr>
      <w:r>
        <w:rPr>
          <w:rFonts w:ascii="Times New Roman" w:hAnsi="Times New Roman"/>
          <w:sz w:val="28"/>
        </w:rPr>
        <w:t>Приоритеты и цели, планируемые к достижению в Программе, определяются законодательными полномочиями муниципального образования и требованиями Приказа Минэкономразвития России от 28.04.2021г. №231 «</w:t>
      </w:r>
      <w:r>
        <w:rPr>
          <w:rFonts w:ascii="Times New Roman" w:hAnsi="Times New Roman"/>
          <w:color w:val="202124"/>
          <w:sz w:val="28"/>
          <w:highlight w:val="white"/>
        </w:rPr>
        <w:t xml:space="preserve">Об утверждении методики расчета значений целевых показателей в области энергосбережения и повышения энергетической эффективности, достижение которых обеспечивается в результате реализации региональных и муниципальных программ в области энергосбережения и повышения энергетической эффективности" применительно к Ключевскому сельсовету: </w:t>
      </w:r>
    </w:p>
    <w:p>
      <w:pPr>
        <w:pStyle w:val="Normal"/>
        <w:spacing w:lineRule="auto" w:line="240" w:before="0" w:after="0"/>
        <w:ind w:firstLine="709" w:start="0" w:end="0"/>
        <w:jc w:val="both"/>
        <w:rPr>
          <w:rFonts w:ascii="Times New Roman" w:hAnsi="Times New Roman"/>
          <w:color w:val="202124"/>
          <w:sz w:val="28"/>
          <w:highlight w:val="white"/>
        </w:rPr>
      </w:pPr>
      <w:r>
        <w:rPr>
          <w:rFonts w:ascii="Times New Roman" w:hAnsi="Times New Roman"/>
          <w:color w:val="202124"/>
          <w:sz w:val="28"/>
          <w:highlight w:val="white"/>
        </w:rPr>
        <w:t>- целевые показатели, характеризующие оснащенность приборами учета используемых энергоресурсов и воды;</w:t>
      </w:r>
    </w:p>
    <w:p>
      <w:pPr>
        <w:pStyle w:val="Normal"/>
        <w:spacing w:lineRule="auto" w:line="240" w:before="0" w:after="0"/>
        <w:ind w:firstLine="709" w:start="0" w:end="0"/>
        <w:jc w:val="both"/>
        <w:rPr>
          <w:rFonts w:ascii="Times New Roman" w:hAnsi="Times New Roman"/>
          <w:color w:val="202124"/>
          <w:sz w:val="28"/>
          <w:highlight w:val="white"/>
        </w:rPr>
      </w:pPr>
      <w:r>
        <w:rPr>
          <w:rFonts w:ascii="Times New Roman" w:hAnsi="Times New Roman"/>
          <w:color w:val="202124"/>
          <w:sz w:val="28"/>
          <w:highlight w:val="white"/>
        </w:rPr>
        <w:t>- целевые показатели, характеризующие потребление энергетических ресурсов муниципальных организаций, находящихся в ведении сельсовета;</w:t>
      </w:r>
    </w:p>
    <w:p>
      <w:pPr>
        <w:pStyle w:val="Normal"/>
        <w:spacing w:lineRule="auto" w:line="240" w:before="0" w:after="0"/>
        <w:ind w:firstLine="709" w:start="0" w:end="0"/>
        <w:jc w:val="both"/>
        <w:rPr>
          <w:rFonts w:ascii="Times New Roman" w:hAnsi="Times New Roman"/>
          <w:color w:val="202124"/>
          <w:sz w:val="28"/>
          <w:highlight w:val="white"/>
        </w:rPr>
      </w:pPr>
      <w:r>
        <w:rPr>
          <w:rFonts w:ascii="Times New Roman" w:hAnsi="Times New Roman"/>
          <w:color w:val="202124"/>
          <w:sz w:val="28"/>
          <w:highlight w:val="white"/>
        </w:rPr>
        <w:t>- целевые показатели, характеризующие использование энергетических ресурсов в жилищно-коммунальном хозяйстве.</w:t>
      </w:r>
    </w:p>
    <w:p>
      <w:pPr>
        <w:pStyle w:val="Normal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76" w:before="0" w:after="0"/>
        <w:ind w:firstLine="709" w:start="0" w:end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5 ПРОГНОЗ ОЖИДАЕМЫХ РЕЗУЛЬТАТОВ ПРИ РЕАЛИЗАЦИИ ПРЕДЛАГАЕМЫХ МЕРОПРИЯТИЙ, НАПРАВЛЕННЫХ НА ЭФФЕКТИВНОЕ ИСПОЛЬЗОВАНИЕ ЭНЕРГЕТИЧЕСКИХ РЕСУРСОВ И ВОДЫ НА ТЕРРИТОРИИСЕЛЬСОВЕТА</w:t>
      </w:r>
    </w:p>
    <w:p>
      <w:pPr>
        <w:pStyle w:val="Normal"/>
        <w:spacing w:lineRule="auto" w:line="276" w:before="0" w:after="0"/>
        <w:ind w:firstLine="709" w:start="0" w:end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(анализ, выводы, предложения)</w:t>
      </w:r>
    </w:p>
    <w:p>
      <w:pPr>
        <w:pStyle w:val="Normal"/>
        <w:spacing w:lineRule="auto" w:line="276" w:before="0" w:after="0"/>
        <w:ind w:firstLine="709" w:start="0" w:end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5.1. Уровень оснащенности приборами учета используемых энергетических ресурсов и воды в Ключевском сельсовете</w:t>
      </w:r>
    </w:p>
    <w:p>
      <w:pPr>
        <w:pStyle w:val="Normal"/>
        <w:spacing w:lineRule="auto" w:line="276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Здание, находящееся в собственности сельсовета оборудовано приборами коммерческого учета электроэнергии.</w:t>
      </w:r>
    </w:p>
    <w:p>
      <w:pPr>
        <w:pStyle w:val="Normal"/>
        <w:spacing w:lineRule="auto" w:line="276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 о приборах учета в системе водоснабжения отсутствуют.</w:t>
      </w:r>
    </w:p>
    <w:p>
      <w:pPr>
        <w:pStyle w:val="Normal"/>
        <w:spacing w:lineRule="auto" w:line="276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процессе дальнейшей эксплуатации приборы учета следует поверять в установленные сроки, а при замене их переходить на приборы учета, адаптированные для работы в автоматизированных системах и системах диспетчеризации. </w:t>
      </w:r>
    </w:p>
    <w:p>
      <w:pPr>
        <w:pStyle w:val="Normal"/>
        <w:spacing w:lineRule="auto" w:line="276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76" w:before="0" w:after="0"/>
        <w:ind w:firstLine="709" w:start="0" w:end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5.2. Анализ потребления энергетических ресурсов зданий, находящихся в ведении сельсовета</w:t>
      </w:r>
    </w:p>
    <w:p>
      <w:pPr>
        <w:pStyle w:val="Normal"/>
        <w:spacing w:lineRule="auto" w:line="276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Самый затратный энергоресурс при эксплуатации зданий – это тепловая энергия, в частности в зимний период. </w:t>
      </w:r>
    </w:p>
    <w:p>
      <w:pPr>
        <w:pStyle w:val="Normal"/>
        <w:spacing w:lineRule="auto" w:line="276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Параметры использования топлива на отопление зданий сельсовета приведен в таблице 8.</w:t>
      </w:r>
    </w:p>
    <w:p>
      <w:pPr>
        <w:pStyle w:val="Normal"/>
        <w:spacing w:lineRule="auto" w:line="276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76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76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76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76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76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76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76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Таблица 8 - Параметры использования топлива на отопление здания Администрации сельского совета</w:t>
      </w:r>
    </w:p>
    <w:tbl>
      <w:tblPr>
        <w:tblStyle w:val="Style_2"/>
        <w:tblW w:w="10269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40"/>
        <w:gridCol w:w="2189"/>
        <w:gridCol w:w="805"/>
        <w:gridCol w:w="696"/>
        <w:gridCol w:w="959"/>
        <w:gridCol w:w="1304"/>
        <w:gridCol w:w="1507"/>
        <w:gridCol w:w="757"/>
        <w:gridCol w:w="756"/>
        <w:gridCol w:w="756"/>
      </w:tblGrid>
      <w:tr>
        <w:trPr>
          <w:trHeight w:val="1973" w:hRule="atLeast"/>
        </w:trPr>
        <w:tc>
          <w:tcPr>
            <w:tcW w:w="540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 xml:space="preserve">№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п/п</w:t>
            </w:r>
          </w:p>
        </w:tc>
        <w:tc>
          <w:tcPr>
            <w:tcW w:w="2189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Наименование здания (учреждения)</w:t>
            </w:r>
          </w:p>
        </w:tc>
        <w:tc>
          <w:tcPr>
            <w:tcW w:w="805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S,</w:t>
            </w:r>
          </w:p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sz w:val="24"/>
                <w:vertAlign w:val="superscript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  <w:vertAlign w:val="superscript"/>
              </w:rPr>
              <w:t>2</w:t>
            </w:r>
          </w:p>
        </w:tc>
        <w:tc>
          <w:tcPr>
            <w:tcW w:w="696" w:type="dxa"/>
            <w:vMerge w:val="restart"/>
            <w:tcBorders/>
            <w:textDirection w:val="btLr"/>
          </w:tcPr>
          <w:p>
            <w:pPr>
              <w:pStyle w:val="Normal"/>
              <w:widowControl/>
              <w:spacing w:lineRule="auto" w:line="240" w:before="0" w:after="0"/>
              <w:ind w:hanging="0" w:start="113" w:end="11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Год постройки</w:t>
            </w:r>
          </w:p>
        </w:tc>
        <w:tc>
          <w:tcPr>
            <w:tcW w:w="959" w:type="dxa"/>
            <w:vMerge w:val="restart"/>
            <w:tcBorders/>
            <w:textDirection w:val="btLr"/>
          </w:tcPr>
          <w:p>
            <w:pPr>
              <w:pStyle w:val="Normal"/>
              <w:widowControl/>
              <w:spacing w:lineRule="auto" w:line="240" w:before="0" w:after="0"/>
              <w:ind w:hanging="0" w:start="113" w:end="11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Ограждающие конструкции</w:t>
            </w:r>
          </w:p>
        </w:tc>
        <w:tc>
          <w:tcPr>
            <w:tcW w:w="1304" w:type="dxa"/>
            <w:vMerge w:val="restart"/>
            <w:tcBorders/>
            <w:textDirection w:val="btLr"/>
          </w:tcPr>
          <w:p>
            <w:pPr>
              <w:pStyle w:val="Normal"/>
              <w:widowControl/>
              <w:spacing w:lineRule="auto" w:line="240" w:before="0" w:after="0"/>
              <w:ind w:hanging="0" w:start="113" w:end="11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Объем потребленного угля в 202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5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 xml:space="preserve"> году,</w:t>
            </w:r>
          </w:p>
          <w:p>
            <w:pPr>
              <w:pStyle w:val="Normal"/>
              <w:widowControl/>
              <w:spacing w:lineRule="auto" w:line="240" w:before="0" w:after="0"/>
              <w:ind w:hanging="0" w:start="113" w:end="113"/>
              <w:jc w:val="both"/>
              <w:rPr>
                <w:rFonts w:ascii="Times New Roman" w:hAnsi="Times New Roman"/>
                <w:sz w:val="24"/>
                <w:vertAlign w:val="superscript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т</w:t>
            </w:r>
          </w:p>
        </w:tc>
        <w:tc>
          <w:tcPr>
            <w:tcW w:w="1507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Удельное потребление тепловой энергии в 202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5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 xml:space="preserve"> году,</w:t>
            </w:r>
          </w:p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sz w:val="24"/>
                <w:vertAlign w:val="superscript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Гкал/м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  <w:vertAlign w:val="superscript"/>
              </w:rPr>
              <w:t>2</w:t>
            </w:r>
          </w:p>
        </w:tc>
        <w:tc>
          <w:tcPr>
            <w:tcW w:w="2269" w:type="dxa"/>
            <w:gridSpan w:val="3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Задание по снижению удельного расхода тепловой энергии по годам,</w:t>
            </w:r>
          </w:p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sz w:val="24"/>
                <w:vertAlign w:val="superscript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Гкал/м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  <w:vertAlign w:val="superscript"/>
              </w:rPr>
              <w:t>2</w:t>
            </w:r>
          </w:p>
        </w:tc>
      </w:tr>
      <w:tr>
        <w:trPr/>
        <w:tc>
          <w:tcPr>
            <w:tcW w:w="54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start"/>
              <w:rPr>
                <w:rFonts w:ascii="Calibri" w:hAnsi="Calibri"/>
                <w:color w:val="000000"/>
                <w:spacing w:val="0"/>
                <w:kern w:val="0"/>
                <w:sz w:val="22"/>
                <w:szCs w:val="20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  <w:tc>
          <w:tcPr>
            <w:tcW w:w="2189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start"/>
              <w:rPr>
                <w:rFonts w:ascii="Calibri" w:hAnsi="Calibri"/>
                <w:color w:val="000000"/>
                <w:spacing w:val="0"/>
                <w:kern w:val="0"/>
                <w:sz w:val="22"/>
                <w:szCs w:val="20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  <w:tc>
          <w:tcPr>
            <w:tcW w:w="805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start"/>
              <w:rPr>
                <w:rFonts w:ascii="Calibri" w:hAnsi="Calibri"/>
                <w:color w:val="000000"/>
                <w:spacing w:val="0"/>
                <w:kern w:val="0"/>
                <w:sz w:val="22"/>
                <w:szCs w:val="20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  <w:tc>
          <w:tcPr>
            <w:tcW w:w="696" w:type="dxa"/>
            <w:vMerge w:val="continue"/>
            <w:tcBorders/>
            <w:textDirection w:val="btL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start"/>
              <w:rPr>
                <w:rFonts w:ascii="Calibri" w:hAnsi="Calibri"/>
                <w:color w:val="000000"/>
                <w:spacing w:val="0"/>
                <w:kern w:val="0"/>
                <w:sz w:val="22"/>
                <w:szCs w:val="20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  <w:tc>
          <w:tcPr>
            <w:tcW w:w="959" w:type="dxa"/>
            <w:vMerge w:val="continue"/>
            <w:tcBorders/>
            <w:textDirection w:val="btL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start"/>
              <w:rPr>
                <w:rFonts w:ascii="Calibri" w:hAnsi="Calibri"/>
                <w:color w:val="000000"/>
                <w:spacing w:val="0"/>
                <w:kern w:val="0"/>
                <w:sz w:val="22"/>
                <w:szCs w:val="20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  <w:tc>
          <w:tcPr>
            <w:tcW w:w="1304" w:type="dxa"/>
            <w:vMerge w:val="continue"/>
            <w:tcBorders/>
            <w:textDirection w:val="btL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start"/>
              <w:rPr>
                <w:rFonts w:ascii="Calibri" w:hAnsi="Calibri"/>
                <w:color w:val="000000"/>
                <w:spacing w:val="0"/>
                <w:kern w:val="0"/>
                <w:sz w:val="22"/>
                <w:szCs w:val="20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  <w:tc>
          <w:tcPr>
            <w:tcW w:w="1507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start"/>
              <w:rPr>
                <w:rFonts w:ascii="Calibri" w:hAnsi="Calibri"/>
                <w:color w:val="000000"/>
                <w:spacing w:val="0"/>
                <w:kern w:val="0"/>
                <w:sz w:val="22"/>
                <w:szCs w:val="20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  <w:tc>
          <w:tcPr>
            <w:tcW w:w="757" w:type="dxa"/>
            <w:tcBorders/>
          </w:tcPr>
          <w:p>
            <w:pPr>
              <w:pStyle w:val="Normal"/>
              <w:widowControl/>
              <w:spacing w:lineRule="auto" w:line="360" w:before="0" w:after="0"/>
              <w:ind w:hanging="0" w:start="0" w:end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6</w:t>
            </w:r>
          </w:p>
        </w:tc>
        <w:tc>
          <w:tcPr>
            <w:tcW w:w="756" w:type="dxa"/>
            <w:tcBorders/>
          </w:tcPr>
          <w:p>
            <w:pPr>
              <w:pStyle w:val="Normal"/>
              <w:widowControl/>
              <w:spacing w:lineRule="auto" w:line="360" w:before="0" w:after="0"/>
              <w:ind w:hanging="0" w:start="0" w:end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7</w:t>
            </w:r>
          </w:p>
        </w:tc>
        <w:tc>
          <w:tcPr>
            <w:tcW w:w="756" w:type="dxa"/>
            <w:tcBorders/>
          </w:tcPr>
          <w:p>
            <w:pPr>
              <w:pStyle w:val="Normal"/>
              <w:widowControl/>
              <w:spacing w:lineRule="auto" w:line="360" w:before="0" w:after="0"/>
              <w:ind w:hanging="0" w:start="0" w:end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8</w:t>
            </w:r>
          </w:p>
        </w:tc>
      </w:tr>
      <w:tr>
        <w:trPr/>
        <w:tc>
          <w:tcPr>
            <w:tcW w:w="540" w:type="dxa"/>
            <w:tcBorders/>
          </w:tcPr>
          <w:p>
            <w:pPr>
              <w:pStyle w:val="Normal"/>
              <w:widowControl/>
              <w:spacing w:lineRule="auto" w:line="360" w:before="0" w:after="0"/>
              <w:ind w:hanging="0" w:start="0" w:end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2189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Администрация Ключевского сельсовета</w:t>
            </w:r>
          </w:p>
        </w:tc>
        <w:tc>
          <w:tcPr>
            <w:tcW w:w="805" w:type="dxa"/>
            <w:tcBorders/>
          </w:tcPr>
          <w:p>
            <w:pPr>
              <w:pStyle w:val="Normal"/>
              <w:widowControl/>
              <w:spacing w:lineRule="auto" w:line="360" w:before="0" w:after="0"/>
              <w:ind w:hanging="0" w:start="0" w:end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450</w:t>
            </w:r>
          </w:p>
        </w:tc>
        <w:tc>
          <w:tcPr>
            <w:tcW w:w="696" w:type="dxa"/>
            <w:tcBorders/>
          </w:tcPr>
          <w:p>
            <w:pPr>
              <w:pStyle w:val="Normal"/>
              <w:widowControl/>
              <w:spacing w:lineRule="auto" w:line="360" w:before="0" w:after="0"/>
              <w:ind w:hanging="0" w:start="0" w:end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1962</w:t>
            </w:r>
          </w:p>
        </w:tc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360" w:before="0" w:after="0"/>
              <w:ind w:hanging="0" w:start="0" w:end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304" w:type="dxa"/>
            <w:tcBorders/>
          </w:tcPr>
          <w:p>
            <w:pPr>
              <w:pStyle w:val="Normal"/>
              <w:widowControl/>
              <w:spacing w:lineRule="auto" w:line="360" w:before="0" w:after="0"/>
              <w:ind w:hanging="0" w:start="0" w:end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8</w:t>
            </w:r>
          </w:p>
        </w:tc>
        <w:tc>
          <w:tcPr>
            <w:tcW w:w="1507" w:type="dxa"/>
            <w:tcBorders/>
          </w:tcPr>
          <w:p>
            <w:pPr>
              <w:pStyle w:val="Normal"/>
              <w:widowControl/>
              <w:spacing w:lineRule="auto" w:line="360" w:before="0" w:after="0"/>
              <w:ind w:hanging="0" w:start="0" w:end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0,12</w:t>
            </w:r>
          </w:p>
        </w:tc>
        <w:tc>
          <w:tcPr>
            <w:tcW w:w="2269" w:type="dxa"/>
            <w:gridSpan w:val="3"/>
            <w:tcBorders/>
          </w:tcPr>
          <w:p>
            <w:pPr>
              <w:pStyle w:val="Normal"/>
              <w:widowControl/>
              <w:spacing w:lineRule="auto" w:line="360" w:before="0" w:after="0"/>
              <w:ind w:hanging="0" w:start="0" w:end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Не требуется</w:t>
            </w:r>
          </w:p>
        </w:tc>
      </w:tr>
    </w:tbl>
    <w:p>
      <w:pPr>
        <w:pStyle w:val="Normal"/>
        <w:spacing w:lineRule="auto" w:line="276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наличии газопровода у здания, оно отапливается углем.</w:t>
      </w:r>
    </w:p>
    <w:p>
      <w:pPr>
        <w:pStyle w:val="Normal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202</w:t>
      </w: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 году за отопительный сезон израсходовано 8 тонн угля, стоимость которого составила </w:t>
      </w:r>
      <w:r>
        <w:rPr>
          <w:rFonts w:ascii="Times New Roman" w:hAnsi="Times New Roman"/>
          <w:sz w:val="28"/>
        </w:rPr>
        <w:t xml:space="preserve">124 </w:t>
      </w:r>
      <w:r>
        <w:rPr>
          <w:rFonts w:ascii="Times New Roman" w:hAnsi="Times New Roman"/>
          <w:sz w:val="28"/>
        </w:rPr>
        <w:t>тыс. рублей.</w:t>
      </w:r>
    </w:p>
    <w:p>
      <w:pPr>
        <w:pStyle w:val="Normal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переводе котельной на газ, объем годового потребления газа составит:</w:t>
      </w:r>
    </w:p>
    <w:p>
      <w:pPr>
        <w:pStyle w:val="Normal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 х 0,17 = 1,36 Гкал.</w:t>
      </w:r>
    </w:p>
    <w:p>
      <w:pPr>
        <w:pStyle w:val="Normal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Потребность газа составит:</w:t>
      </w:r>
    </w:p>
    <w:p>
      <w:pPr>
        <w:pStyle w:val="Normal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(1,36 / 6,73) х 1,2 х 877 = 212,66 м</w:t>
      </w:r>
      <w:r>
        <w:rPr>
          <w:rFonts w:ascii="Times New Roman" w:hAnsi="Times New Roman"/>
          <w:sz w:val="28"/>
          <w:vertAlign w:val="superscript"/>
        </w:rPr>
        <w:t>3</w:t>
      </w:r>
      <w:r>
        <w:rPr>
          <w:rFonts w:ascii="Times New Roman" w:hAnsi="Times New Roman"/>
          <w:sz w:val="28"/>
        </w:rPr>
        <w:t>.</w:t>
      </w:r>
    </w:p>
    <w:p>
      <w:pPr>
        <w:pStyle w:val="Normal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денежном выражении стоимость газа составит 212,66 х 7,7 = 1,637 тыс. рублей.</w:t>
      </w:r>
    </w:p>
    <w:p>
      <w:pPr>
        <w:pStyle w:val="Normal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Также немаловажен факт, что сократятся выбросы СО</w:t>
      </w:r>
      <w:r>
        <w:rPr>
          <w:rFonts w:ascii="Times New Roman" w:hAnsi="Times New Roman"/>
          <w:sz w:val="28"/>
          <w:vertAlign w:val="subscript"/>
        </w:rPr>
        <w:t>2</w:t>
      </w:r>
      <w:r>
        <w:rPr>
          <w:rFonts w:ascii="Times New Roman" w:hAnsi="Times New Roman"/>
          <w:sz w:val="28"/>
        </w:rPr>
        <w:t xml:space="preserve"> в атмосферу.</w:t>
      </w:r>
    </w:p>
    <w:p>
      <w:pPr>
        <w:pStyle w:val="Normal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сравнения:</w:t>
      </w:r>
    </w:p>
    <w:p>
      <w:pPr>
        <w:pStyle w:val="Normal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Уголь (8 : 1,3) х 2,76 = 16,98 тонн СО</w:t>
      </w:r>
      <w:r>
        <w:rPr>
          <w:rFonts w:ascii="Times New Roman" w:hAnsi="Times New Roman"/>
          <w:sz w:val="28"/>
          <w:vertAlign w:val="subscript"/>
        </w:rPr>
        <w:t>2</w:t>
      </w:r>
      <w:r>
        <w:rPr>
          <w:rFonts w:ascii="Times New Roman" w:hAnsi="Times New Roman"/>
          <w:sz w:val="28"/>
        </w:rPr>
        <w:t>;</w:t>
      </w:r>
    </w:p>
    <w:p>
      <w:pPr>
        <w:pStyle w:val="Normal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Газ (27834 : 877) х 1,62 = 0,39 тонн СО</w:t>
      </w:r>
      <w:r>
        <w:rPr>
          <w:rFonts w:ascii="Times New Roman" w:hAnsi="Times New Roman"/>
          <w:sz w:val="28"/>
          <w:vertAlign w:val="subscript"/>
        </w:rPr>
        <w:t>2</w:t>
      </w:r>
      <w:r>
        <w:rPr>
          <w:rFonts w:ascii="Times New Roman" w:hAnsi="Times New Roman"/>
          <w:sz w:val="28"/>
        </w:rPr>
        <w:t>.</w:t>
      </w:r>
    </w:p>
    <w:p>
      <w:pPr>
        <w:pStyle w:val="Normal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Итого выбросы сократятся 16,98 – 0,39 = 16,58 тонн СО</w:t>
      </w:r>
      <w:r>
        <w:rPr>
          <w:rFonts w:ascii="Times New Roman" w:hAnsi="Times New Roman"/>
          <w:sz w:val="28"/>
          <w:vertAlign w:val="subscript"/>
        </w:rPr>
        <w:t>2</w:t>
      </w:r>
      <w:r>
        <w:rPr>
          <w:rFonts w:ascii="Times New Roman" w:hAnsi="Times New Roman"/>
          <w:sz w:val="28"/>
        </w:rPr>
        <w:t>.</w:t>
      </w:r>
    </w:p>
    <w:p>
      <w:pPr>
        <w:pStyle w:val="Normal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Учитывая экономическую и экологическую целесообразность перевода котельной на газ, администрации Ключевского сельсовета необходимо обозначить этот вопрос перед Горшеченским районом.</w:t>
      </w:r>
    </w:p>
    <w:p>
      <w:pPr>
        <w:pStyle w:val="Normal"/>
        <w:spacing w:lineRule="auto" w:line="276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Удельный расход электрической энергии здания составляет                               0,79 кВт х час / м</w:t>
      </w:r>
      <w:r>
        <w:rPr>
          <w:rFonts w:ascii="Times New Roman" w:hAnsi="Times New Roman"/>
          <w:sz w:val="28"/>
          <w:vertAlign w:val="superscript"/>
        </w:rPr>
        <w:t>2</w:t>
      </w:r>
      <w:r>
        <w:rPr>
          <w:rFonts w:ascii="Times New Roman" w:hAnsi="Times New Roman"/>
          <w:sz w:val="28"/>
        </w:rPr>
        <w:t>.</w:t>
      </w:r>
    </w:p>
    <w:p>
      <w:pPr>
        <w:pStyle w:val="Normal"/>
        <w:spacing w:lineRule="auto" w:line="276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76" w:before="0" w:after="0"/>
        <w:ind w:firstLine="709" w:start="0" w:end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5.3.Использование энергетических ресурсов в коммунальном секторе сельсовета</w:t>
      </w:r>
    </w:p>
    <w:p>
      <w:pPr>
        <w:pStyle w:val="Normal"/>
        <w:spacing w:lineRule="auto" w:line="276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 территории сельсовета функционируют шесть систем водоснабжения (скважина, водонапорная башня, сети водопровода к потребителям). В двух населенных пунктах сельсовета </w:t>
      </w:r>
      <w:r>
        <w:rPr>
          <w:rFonts w:ascii="Times New Roman" w:hAnsi="Times New Roman"/>
          <w:sz w:val="28"/>
        </w:rPr>
        <w:t>180</w:t>
      </w:r>
      <w:r>
        <w:rPr>
          <w:rFonts w:ascii="Times New Roman" w:hAnsi="Times New Roman"/>
          <w:sz w:val="28"/>
        </w:rPr>
        <w:t xml:space="preserve"> потребителей воды.</w:t>
      </w:r>
    </w:p>
    <w:p>
      <w:pPr>
        <w:pStyle w:val="Normal"/>
        <w:spacing w:lineRule="auto" w:line="276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</w:t>
      </w:r>
      <w:r>
        <w:rPr>
          <w:rFonts w:ascii="Times New Roman" w:hAnsi="Times New Roman"/>
          <w:sz w:val="28"/>
        </w:rPr>
        <w:t>средненная электроемкость не известна, т.к. скважины и водонапорные башни в ведении сельсовета не находятся.</w:t>
      </w:r>
    </w:p>
    <w:p>
      <w:pPr>
        <w:pStyle w:val="Normal"/>
        <w:spacing w:lineRule="auto" w:line="276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качестве рекомендаций можно предложить следующее.</w:t>
      </w:r>
    </w:p>
    <w:p>
      <w:pPr>
        <w:pStyle w:val="Normal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ФГБОУ ВО «ЮЗГУ» провел инструментальное обследование 89 скважин добычи воды в разных районах Курской области и выполнил подбор энергоэффективного насосного оборудования.</w:t>
      </w:r>
    </w:p>
    <w:p>
      <w:pPr>
        <w:pStyle w:val="Normal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Результатом проведенной работы было определено, что электроемкость добычи воды может составлять от 0,3 до 0,5 кВт х час / м</w:t>
      </w:r>
      <w:r>
        <w:rPr>
          <w:rFonts w:ascii="Times New Roman" w:hAnsi="Times New Roman"/>
          <w:sz w:val="28"/>
          <w:vertAlign w:val="superscript"/>
        </w:rPr>
        <w:t>3</w:t>
      </w:r>
      <w:r>
        <w:rPr>
          <w:rFonts w:ascii="Times New Roman" w:hAnsi="Times New Roman"/>
          <w:sz w:val="28"/>
        </w:rPr>
        <w:t>.</w:t>
      </w:r>
    </w:p>
    <w:p>
      <w:pPr>
        <w:pStyle w:val="Normal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замене насосного оборудования следует проводить анализ существующего положения и выбирать из линейки насосов для скважин, насосы со следующими высокотехнологическими параметрами:</w:t>
      </w:r>
    </w:p>
    <w:p>
      <w:pPr>
        <w:pStyle w:val="Normal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высокой износостойкостью;</w:t>
      </w:r>
    </w:p>
    <w:p>
      <w:pPr>
        <w:pStyle w:val="Normal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насос должен быть оборудован специальным фильтром на всасывании, который улавливает крупные включения в перекачиваемой воде;</w:t>
      </w:r>
    </w:p>
    <w:p>
      <w:pPr>
        <w:pStyle w:val="Normal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 встроенным обратным клапаном, который предотвращает обратный потом воды при остановке насоса, что сводит к минимуму риск гидравлических ударов в системе;</w:t>
      </w:r>
    </w:p>
    <w:p>
      <w:pPr>
        <w:pStyle w:val="Normal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 встроенной защитой электродвигателя, которая обеспечивает защиту насоса от перегрузки, перегрева и скачков напряжения;</w:t>
      </w:r>
    </w:p>
    <w:p>
      <w:pPr>
        <w:pStyle w:val="Normal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 защитой от «сухого» хода, которая автоматически отключает насос при недостатке воды в скважине;</w:t>
      </w:r>
    </w:p>
    <w:p>
      <w:pPr>
        <w:pStyle w:val="Normal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 защитой насоса от высокого пускового тока, механических перегрузок и гидроударов и обеспечивает плавный пуск.</w:t>
      </w:r>
    </w:p>
    <w:p>
      <w:pPr>
        <w:pStyle w:val="Normal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Тогда оптимизация работы насоса позволяет в зависимости от меняющихся условий эксплуатации обеспечивать максимальную производительность и стабильность работы системы водоснабжения при минимальных затратах потребления электроэнергии.</w:t>
      </w:r>
    </w:p>
    <w:p>
      <w:pPr>
        <w:pStyle w:val="Normal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ликвидации технологических потерь при добычи воды следует обращать особое внимание на подбор эффективной системы регулирования заполнения башен для недопущения переливов воды.</w:t>
      </w:r>
    </w:p>
    <w:p>
      <w:pPr>
        <w:pStyle w:val="Normal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целях определения фактических технологических и коммерческих потерь добываемой водыследует разработать сметную документацию на ремонт колодцев и установку 6-ти водосчетчиков. </w:t>
      </w:r>
    </w:p>
    <w:p>
      <w:pPr>
        <w:pStyle w:val="Normal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Потенциал энергосбережения при реализации комплекса рекомендуемых мероприятий в системах водоснабжения сельсовета составляет 3,7 ту.т.</w:t>
      </w:r>
    </w:p>
    <w:p>
      <w:pPr>
        <w:pStyle w:val="Normal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09" w:start="0" w:end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5.4. Анализ эффективности уличного освещения</w:t>
      </w:r>
    </w:p>
    <w:p>
      <w:pPr>
        <w:pStyle w:val="Normal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территории Ключевского сельсовета светильники наружного освещения не установлены.</w:t>
      </w:r>
    </w:p>
    <w:p>
      <w:pPr>
        <w:pStyle w:val="Normal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полной освещенности населенных пунктов требуется установить приблизительно 86 светильников.</w:t>
      </w:r>
    </w:p>
    <w:p>
      <w:pPr>
        <w:pStyle w:val="Normal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Отсутствие требуемого в полном объеме уличного освещения в ночное время не только нарушает комфортность проживания населения, но может сказаться на оказании своевременной первичной помощи при пожарной опасности, экстренной медицинской помощи и при других чрезвычайных ситуациях.</w:t>
      </w:r>
    </w:p>
    <w:p>
      <w:pPr>
        <w:pStyle w:val="Normal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Требуемое количество светильников должно соответствовать нормам уличного освещения сельских поселений согласно СНИП 23-05-2010 (СП 323.1325800.2017).</w:t>
      </w:r>
    </w:p>
    <w:p>
      <w:pPr>
        <w:pStyle w:val="Normal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Существующая система уличного освещения Ключевского сельсовета представлена в таблице 7.</w:t>
      </w:r>
    </w:p>
    <w:p>
      <w:pPr>
        <w:pStyle w:val="Normal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hanging="0" w:start="360" w:end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6. ФИНАНСОВОЕ ОБЕСПЕЧЕНИЕ ПРОГРАММЫ</w:t>
      </w:r>
    </w:p>
    <w:p>
      <w:pPr>
        <w:pStyle w:val="Normal"/>
        <w:spacing w:lineRule="auto" w:line="240" w:before="0" w:after="0"/>
        <w:ind w:hanging="0" w:start="360" w:end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Перечень возможных дополнительных источников для финансирования программы:</w:t>
      </w:r>
    </w:p>
    <w:p>
      <w:pPr>
        <w:pStyle w:val="Normal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из бюджетов федерального и областного уровня при участии в федеральных и областных программах.</w:t>
      </w:r>
    </w:p>
    <w:p>
      <w:pPr>
        <w:pStyle w:val="Normal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из бюджета муниципального района Курской области;</w:t>
      </w:r>
    </w:p>
    <w:p>
      <w:pPr>
        <w:pStyle w:val="Normal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внебюджетных средств, заложенных в регулируемые цены и тарифы;</w:t>
      </w:r>
    </w:p>
    <w:p>
      <w:pPr>
        <w:pStyle w:val="Normal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при использовании инструментов рыночной экономики – энергосервис и лизинг.</w:t>
      </w:r>
    </w:p>
    <w:p>
      <w:pPr>
        <w:pStyle w:val="Normal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09" w:start="0" w:end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7. МОНИТОРИНГ РЕЗУЛЬТАТОВ РЕАЛИЗАЦИИ ПРОГРАММЫ</w:t>
      </w:r>
    </w:p>
    <w:p>
      <w:pPr>
        <w:pStyle w:val="Normal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учетом сбалансированности программы по приоритетам проведения энергосбережения и повышения энергетической эффективности с использованием целевых показателей и критериев результат реализации программы определяется по изменению динамики целевых показателей.</w:t>
      </w:r>
    </w:p>
    <w:p>
      <w:pPr>
        <w:pStyle w:val="Normal"/>
        <w:spacing w:lineRule="auto" w:line="240" w:before="0" w:after="0"/>
        <w:ind w:firstLine="709" w:start="0" w:end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spacing w:lineRule="auto" w:line="240" w:before="0" w:after="0"/>
        <w:ind w:firstLine="709" w:start="0" w:end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spacing w:lineRule="auto" w:line="240" w:before="0" w:after="0"/>
        <w:ind w:firstLine="709" w:start="0" w:end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8. СУЩЕСТВУЮЩИЕ РИСКИ</w:t>
      </w:r>
    </w:p>
    <w:p>
      <w:pPr>
        <w:pStyle w:val="Normal"/>
        <w:spacing w:lineRule="auto" w:line="240" w:before="0" w:after="0"/>
        <w:ind w:firstLine="709" w:start="0" w:end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ListParagraph1"/>
        <w:numPr>
          <w:ilvl w:val="0"/>
          <w:numId w:val="6"/>
        </w:numPr>
        <w:spacing w:lineRule="auto" w:line="240" w:before="0" w:after="0"/>
        <w:ind w:hanging="360" w:start="1069" w:end="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Отсутствие средств для финансирования программы</w:t>
      </w:r>
    </w:p>
    <w:p>
      <w:pPr>
        <w:pStyle w:val="ListParagraph1"/>
        <w:numPr>
          <w:ilvl w:val="0"/>
          <w:numId w:val="6"/>
        </w:numPr>
        <w:spacing w:lineRule="auto" w:line="240" w:before="0" w:after="0"/>
        <w:ind w:hanging="360" w:start="1069" w:end="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Значительный рост цен на энергоэффективное оборудование</w:t>
      </w:r>
    </w:p>
    <w:p>
      <w:pPr>
        <w:pStyle w:val="ListParagraph1"/>
        <w:numPr>
          <w:ilvl w:val="0"/>
          <w:numId w:val="6"/>
        </w:numPr>
        <w:spacing w:lineRule="auto" w:line="240" w:before="0" w:after="0"/>
        <w:ind w:hanging="360" w:start="1069" w:end="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Выход на длительный срок коммерческих приборов учета энергоресурсов</w:t>
      </w:r>
    </w:p>
    <w:p>
      <w:pPr>
        <w:pStyle w:val="Normal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09" w:start="0" w:end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9. СИСТЕМА УПРАВЛЕНИЯ РЕАЛИЗАЦИЕЙ ПРОГРАММЫ</w:t>
      </w:r>
    </w:p>
    <w:p>
      <w:pPr>
        <w:pStyle w:val="Normal"/>
        <w:spacing w:lineRule="auto" w:line="240" w:before="0" w:after="0"/>
        <w:ind w:firstLine="709" w:start="0" w:end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Текущее управление реализацией программы осуществляет глава муниципального образования.</w:t>
      </w:r>
    </w:p>
    <w:p>
      <w:pPr>
        <w:pStyle w:val="Normal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09" w:start="0" w:end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10. МЕТОДИКА ОЦЕНКИ ЭФФЕКТИВНОСТИ РЕАЛИЗАЦИИ МУНИЦИПАЛЬНОЙ ПРОГРАММЫ</w:t>
      </w:r>
    </w:p>
    <w:p>
      <w:pPr>
        <w:pStyle w:val="Normal"/>
        <w:spacing w:lineRule="auto" w:line="240" w:before="0" w:after="0"/>
        <w:ind w:firstLine="709" w:start="0" w:end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Оценка эффективности реализации программы производится путем сравнения каждого фактически достигнутого целевого показателя за соответствующий год с его прогнозным значением, утвержденным программой.</w:t>
      </w:r>
    </w:p>
    <w:p>
      <w:pPr>
        <w:pStyle w:val="Normal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Эффективность реализации программы оценивается как степень фактического достижения целевого показателя по формуле:</w:t>
      </w:r>
    </w:p>
    <w:p>
      <w:pPr>
        <w:pStyle w:val="Normal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 = П</w:t>
      </w:r>
      <w:r>
        <w:rPr>
          <w:rFonts w:ascii="Times New Roman" w:hAnsi="Times New Roman"/>
          <w:sz w:val="28"/>
          <w:vertAlign w:val="subscript"/>
        </w:rPr>
        <w:t>ф</w:t>
      </w:r>
      <w:r>
        <w:rPr>
          <w:rFonts w:ascii="Times New Roman" w:hAnsi="Times New Roman"/>
          <w:sz w:val="28"/>
        </w:rPr>
        <w:t xml:space="preserve"> / П</w:t>
      </w:r>
      <w:r>
        <w:rPr>
          <w:rFonts w:ascii="Times New Roman" w:hAnsi="Times New Roman"/>
          <w:sz w:val="28"/>
          <w:vertAlign w:val="subscript"/>
        </w:rPr>
        <w:t>н</w:t>
      </w:r>
      <w:r>
        <w:rPr>
          <w:rFonts w:ascii="Times New Roman" w:hAnsi="Times New Roman"/>
          <w:sz w:val="28"/>
        </w:rPr>
        <w:t xml:space="preserve"> х 100 %,</w:t>
      </w:r>
    </w:p>
    <w:p>
      <w:pPr>
        <w:pStyle w:val="Normal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где П</w:t>
      </w:r>
      <w:r>
        <w:rPr>
          <w:rFonts w:ascii="Times New Roman" w:hAnsi="Times New Roman"/>
          <w:sz w:val="28"/>
          <w:vertAlign w:val="subscript"/>
        </w:rPr>
        <w:t>ф</w:t>
      </w:r>
      <w:r>
        <w:rPr>
          <w:rFonts w:ascii="Times New Roman" w:hAnsi="Times New Roman"/>
          <w:sz w:val="28"/>
        </w:rPr>
        <w:t>– фактический показатель, достигнутый в ходе реализации программы,</w:t>
      </w:r>
    </w:p>
    <w:p>
      <w:pPr>
        <w:pStyle w:val="Normal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  <w:vertAlign w:val="subscript"/>
        </w:rPr>
        <w:t>н</w:t>
      </w:r>
      <w:r>
        <w:rPr>
          <w:rFonts w:ascii="Times New Roman" w:hAnsi="Times New Roman"/>
          <w:sz w:val="28"/>
        </w:rPr>
        <w:t xml:space="preserve"> – нормативный показатель, утвержденный программой.</w:t>
      </w:r>
    </w:p>
    <w:p>
      <w:pPr>
        <w:pStyle w:val="Normal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Программа реализуется эффективно если планируемые целевые показатели выполняются на 80 % и более.</w:t>
      </w:r>
    </w:p>
    <w:p>
      <w:pPr>
        <w:pStyle w:val="Normal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09" w:start="0" w:end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11. ЗАКЛЮЧЕНИЕ</w:t>
      </w:r>
    </w:p>
    <w:p>
      <w:pPr>
        <w:pStyle w:val="Normal"/>
        <w:spacing w:lineRule="auto" w:line="240" w:before="0" w:after="0"/>
        <w:ind w:firstLine="709" w:start="0" w:end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Муниципальная программа Ключевского сельсовета предусматривает:</w:t>
      </w:r>
    </w:p>
    <w:p>
      <w:pPr>
        <w:pStyle w:val="Normal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организацию учета и контроля по рациональному использованию, нормированию и лимитированию энергоресурсов и воды;</w:t>
      </w:r>
    </w:p>
    <w:p>
      <w:pPr>
        <w:pStyle w:val="Normal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реализацию потенциала энергосбережения в объеме</w:t>
      </w:r>
      <w:r>
        <w:rPr>
          <w:rFonts w:ascii="Times New Roman" w:hAnsi="Times New Roman"/>
          <w:sz w:val="28"/>
          <w:shd w:fill="auto" w:val="clear"/>
        </w:rPr>
        <w:t xml:space="preserve"> </w:t>
      </w:r>
      <w:r>
        <w:rPr>
          <w:rFonts w:ascii="Times New Roman" w:hAnsi="Times New Roman"/>
          <w:sz w:val="28"/>
          <w:shd w:fill="auto" w:val="clear"/>
        </w:rPr>
        <w:t>10,8</w:t>
      </w:r>
      <w:r>
        <w:rPr>
          <w:rFonts w:ascii="Times New Roman" w:hAnsi="Times New Roman"/>
          <w:sz w:val="28"/>
          <w:shd w:fill="auto" w:val="clear"/>
        </w:rPr>
        <w:t>ту.т.;</w:t>
      </w:r>
    </w:p>
    <w:p>
      <w:pPr>
        <w:pStyle w:val="Normal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hd w:fill="auto" w:val="clear"/>
        </w:rPr>
        <w:t xml:space="preserve">- уменьшение антропогенной нагрузки на окружающую среду в объеме </w:t>
      </w:r>
      <w:r>
        <w:rPr>
          <w:rFonts w:ascii="Times New Roman" w:hAnsi="Times New Roman"/>
          <w:sz w:val="28"/>
          <w:shd w:fill="auto" w:val="clear"/>
        </w:rPr>
        <w:t>170</w:t>
      </w:r>
      <w:r>
        <w:rPr>
          <w:rFonts w:ascii="Times New Roman" w:hAnsi="Times New Roman"/>
          <w:sz w:val="28"/>
          <w:shd w:fill="auto" w:val="clear"/>
        </w:rPr>
        <w:t xml:space="preserve"> тонн СО</w:t>
      </w:r>
      <w:r>
        <w:rPr>
          <w:rFonts w:ascii="Times New Roman" w:hAnsi="Times New Roman"/>
          <w:sz w:val="28"/>
          <w:shd w:fill="auto" w:val="clear"/>
          <w:vertAlign w:val="subscript"/>
        </w:rPr>
        <w:t>2</w:t>
      </w:r>
      <w:r>
        <w:rPr>
          <w:rFonts w:ascii="Times New Roman" w:hAnsi="Times New Roman"/>
          <w:sz w:val="28"/>
          <w:shd w:fill="auto" w:val="clear"/>
        </w:rPr>
        <w:t xml:space="preserve"> с учетом перевода системы отопления школы </w:t>
      </w:r>
      <w:r>
        <w:rPr>
          <w:rFonts w:ascii="Times New Roman" w:hAnsi="Times New Roman"/>
          <w:sz w:val="28"/>
        </w:rPr>
        <w:t>на газовое топливо.</w:t>
      </w:r>
    </w:p>
    <w:p>
      <w:pPr>
        <w:pStyle w:val="Normal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160"/>
        <w:ind w:firstLine="709" w:start="0" w:end="0"/>
        <w:jc w:val="both"/>
        <w:rPr>
          <w:rFonts w:ascii="Times New Roman" w:hAnsi="Times New Roman"/>
          <w:sz w:val="28"/>
        </w:rPr>
        <w:sectPr>
          <w:footerReference w:type="even" r:id="rId5"/>
          <w:footerReference w:type="default" r:id="rId6"/>
          <w:footerReference w:type="first" r:id="rId7"/>
          <w:type w:val="nextPage"/>
          <w:pgSz w:w="11906" w:h="16838"/>
          <w:pgMar w:left="1134" w:right="1134" w:gutter="0" w:header="0" w:top="1134" w:footer="709" w:bottom="1134"/>
          <w:pgNumType w:fmt="decimal"/>
          <w:formProt w:val="false"/>
          <w:textDirection w:val="lrTb"/>
          <w:docGrid w:type="default" w:linePitch="100" w:charSpace="0"/>
        </w:sect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Таблица 9 Объем средств и мероприятия по энергосбережению, финансируемы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 из бюджета Ключевского сельсовета.</w:t>
      </w:r>
    </w:p>
    <w:tbl>
      <w:tblPr>
        <w:tblStyle w:val="Style_2"/>
        <w:tblW w:w="1478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242"/>
        <w:gridCol w:w="4820"/>
        <w:gridCol w:w="2151"/>
        <w:gridCol w:w="1643"/>
        <w:gridCol w:w="1644"/>
        <w:gridCol w:w="1643"/>
        <w:gridCol w:w="1643"/>
      </w:tblGrid>
      <w:tr>
        <w:trPr/>
        <w:tc>
          <w:tcPr>
            <w:tcW w:w="1242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star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№</w:t>
            </w:r>
          </w:p>
        </w:tc>
        <w:tc>
          <w:tcPr>
            <w:tcW w:w="4820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Наименование мероприятий</w:t>
            </w:r>
          </w:p>
        </w:tc>
        <w:tc>
          <w:tcPr>
            <w:tcW w:w="2151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Ответственный исполнитель</w:t>
            </w:r>
          </w:p>
        </w:tc>
        <w:tc>
          <w:tcPr>
            <w:tcW w:w="6573" w:type="dxa"/>
            <w:gridSpan w:val="4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Выделяемый объем средств для реализации программы (тыс. руб.)</w:t>
            </w:r>
          </w:p>
        </w:tc>
      </w:tr>
      <w:tr>
        <w:trPr>
          <w:trHeight w:val="654" w:hRule="atLeast"/>
        </w:trPr>
        <w:tc>
          <w:tcPr>
            <w:tcW w:w="124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start"/>
              <w:rPr>
                <w:rFonts w:ascii="Calibri" w:hAnsi="Calibri"/>
                <w:color w:val="000000"/>
                <w:spacing w:val="0"/>
                <w:kern w:val="0"/>
                <w:sz w:val="22"/>
                <w:szCs w:val="20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  <w:tc>
          <w:tcPr>
            <w:tcW w:w="482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start"/>
              <w:rPr>
                <w:rFonts w:ascii="Calibri" w:hAnsi="Calibri"/>
                <w:color w:val="000000"/>
                <w:spacing w:val="0"/>
                <w:kern w:val="0"/>
                <w:sz w:val="22"/>
                <w:szCs w:val="20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  <w:tc>
          <w:tcPr>
            <w:tcW w:w="21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start"/>
              <w:rPr>
                <w:rFonts w:ascii="Calibri" w:hAnsi="Calibri"/>
                <w:color w:val="000000"/>
                <w:spacing w:val="0"/>
                <w:kern w:val="0"/>
                <w:sz w:val="22"/>
                <w:szCs w:val="20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  <w:tc>
          <w:tcPr>
            <w:tcW w:w="164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202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6</w:t>
            </w:r>
          </w:p>
        </w:tc>
        <w:tc>
          <w:tcPr>
            <w:tcW w:w="1644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202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7</w:t>
            </w:r>
          </w:p>
        </w:tc>
        <w:tc>
          <w:tcPr>
            <w:tcW w:w="164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202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8</w:t>
            </w:r>
          </w:p>
        </w:tc>
        <w:tc>
          <w:tcPr>
            <w:tcW w:w="164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Всего</w:t>
            </w:r>
          </w:p>
        </w:tc>
      </w:tr>
      <w:tr>
        <w:trPr/>
        <w:tc>
          <w:tcPr>
            <w:tcW w:w="14786" w:type="dxa"/>
            <w:gridSpan w:val="7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Организационные мероприятия</w:t>
            </w:r>
          </w:p>
        </w:tc>
      </w:tr>
      <w:tr>
        <w:trPr/>
        <w:tc>
          <w:tcPr>
            <w:tcW w:w="1242" w:type="dxa"/>
            <w:tcBorders/>
          </w:tcPr>
          <w:p>
            <w:pPr>
              <w:pStyle w:val="Normal"/>
              <w:widowControl/>
              <w:numPr>
                <w:ilvl w:val="0"/>
                <w:numId w:val="7"/>
              </w:numPr>
              <w:spacing w:lineRule="auto" w:line="240" w:before="0" w:after="0"/>
              <w:ind w:hanging="360" w:start="1070" w:end="0"/>
              <w:contextualSpacing/>
              <w:jc w:val="star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</w:r>
          </w:p>
        </w:tc>
        <w:tc>
          <w:tcPr>
            <w:tcW w:w="4820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Принятие муниципального нормативного правового акта в сфере энергосбережения</w:t>
            </w:r>
          </w:p>
        </w:tc>
        <w:tc>
          <w:tcPr>
            <w:tcW w:w="2151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Глава сельсовета</w:t>
            </w:r>
          </w:p>
        </w:tc>
        <w:tc>
          <w:tcPr>
            <w:tcW w:w="164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</w:r>
          </w:p>
        </w:tc>
        <w:tc>
          <w:tcPr>
            <w:tcW w:w="1644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</w:r>
          </w:p>
        </w:tc>
        <w:tc>
          <w:tcPr>
            <w:tcW w:w="164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</w:r>
          </w:p>
        </w:tc>
        <w:tc>
          <w:tcPr>
            <w:tcW w:w="164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</w:r>
          </w:p>
        </w:tc>
      </w:tr>
      <w:tr>
        <w:trPr/>
        <w:tc>
          <w:tcPr>
            <w:tcW w:w="1242" w:type="dxa"/>
            <w:tcBorders/>
          </w:tcPr>
          <w:p>
            <w:pPr>
              <w:pStyle w:val="Normal"/>
              <w:widowControl/>
              <w:numPr>
                <w:ilvl w:val="0"/>
                <w:numId w:val="7"/>
              </w:numPr>
              <w:spacing w:lineRule="auto" w:line="240" w:before="0" w:after="0"/>
              <w:ind w:hanging="360" w:start="1070" w:end="0"/>
              <w:contextualSpacing/>
              <w:jc w:val="star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</w:r>
          </w:p>
        </w:tc>
        <w:tc>
          <w:tcPr>
            <w:tcW w:w="4820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Обучение по подготовке и повышению квалификации специалиста в области энергосбережения</w:t>
            </w:r>
          </w:p>
        </w:tc>
        <w:tc>
          <w:tcPr>
            <w:tcW w:w="2151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Глава сельсовета</w:t>
            </w:r>
          </w:p>
        </w:tc>
        <w:tc>
          <w:tcPr>
            <w:tcW w:w="164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5,0</w:t>
            </w:r>
          </w:p>
        </w:tc>
        <w:tc>
          <w:tcPr>
            <w:tcW w:w="1644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</w:r>
          </w:p>
        </w:tc>
        <w:tc>
          <w:tcPr>
            <w:tcW w:w="164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</w:r>
          </w:p>
        </w:tc>
        <w:tc>
          <w:tcPr>
            <w:tcW w:w="164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5,0</w:t>
            </w:r>
          </w:p>
        </w:tc>
      </w:tr>
      <w:tr>
        <w:trPr/>
        <w:tc>
          <w:tcPr>
            <w:tcW w:w="8213" w:type="dxa"/>
            <w:gridSpan w:val="3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Всего</w:t>
            </w:r>
          </w:p>
        </w:tc>
        <w:tc>
          <w:tcPr>
            <w:tcW w:w="6573" w:type="dxa"/>
            <w:gridSpan w:val="4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star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 xml:space="preserve">       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5,0</w:t>
            </w:r>
          </w:p>
        </w:tc>
      </w:tr>
      <w:tr>
        <w:trPr/>
        <w:tc>
          <w:tcPr>
            <w:tcW w:w="14786" w:type="dxa"/>
            <w:gridSpan w:val="7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Технические и технологические мероприятия</w:t>
            </w:r>
          </w:p>
        </w:tc>
      </w:tr>
      <w:tr>
        <w:trPr/>
        <w:tc>
          <w:tcPr>
            <w:tcW w:w="1242" w:type="dxa"/>
            <w:tcBorders/>
          </w:tcPr>
          <w:p>
            <w:pPr>
              <w:pStyle w:val="Normal"/>
              <w:widowControl/>
              <w:numPr>
                <w:ilvl w:val="0"/>
                <w:numId w:val="8"/>
              </w:numPr>
              <w:spacing w:lineRule="auto" w:line="240" w:before="0" w:after="0"/>
              <w:ind w:hanging="360" w:start="1070" w:end="0"/>
              <w:contextualSpacing/>
              <w:jc w:val="star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</w:r>
          </w:p>
        </w:tc>
        <w:tc>
          <w:tcPr>
            <w:tcW w:w="4820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Установка высокоэффективных светодиодных светильников уличного освещения</w:t>
            </w:r>
          </w:p>
        </w:tc>
        <w:tc>
          <w:tcPr>
            <w:tcW w:w="2151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Администрация сельсовета</w:t>
            </w:r>
          </w:p>
        </w:tc>
        <w:tc>
          <w:tcPr>
            <w:tcW w:w="164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20,0</w:t>
            </w:r>
          </w:p>
        </w:tc>
        <w:tc>
          <w:tcPr>
            <w:tcW w:w="1644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20,0</w:t>
            </w:r>
          </w:p>
        </w:tc>
        <w:tc>
          <w:tcPr>
            <w:tcW w:w="164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40,0</w:t>
            </w:r>
          </w:p>
        </w:tc>
        <w:tc>
          <w:tcPr>
            <w:tcW w:w="164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80,0</w:t>
            </w:r>
          </w:p>
        </w:tc>
      </w:tr>
      <w:tr>
        <w:trPr/>
        <w:tc>
          <w:tcPr>
            <w:tcW w:w="8213" w:type="dxa"/>
            <w:gridSpan w:val="3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Всего</w:t>
            </w:r>
          </w:p>
        </w:tc>
        <w:tc>
          <w:tcPr>
            <w:tcW w:w="6573" w:type="dxa"/>
            <w:gridSpan w:val="4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80,0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Таблица 10 - Целевые показатели Ключевского сельсовета Горшеченского муниципального района в области энергосбережения и повышения энергетической эффективности</w:t>
      </w:r>
    </w:p>
    <w:tbl>
      <w:tblPr>
        <w:tblStyle w:val="Style_2"/>
        <w:tblW w:w="1478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242"/>
        <w:gridCol w:w="5061"/>
        <w:gridCol w:w="1910"/>
        <w:gridCol w:w="1643"/>
        <w:gridCol w:w="1644"/>
        <w:gridCol w:w="1643"/>
        <w:gridCol w:w="1643"/>
      </w:tblGrid>
      <w:tr>
        <w:trPr/>
        <w:tc>
          <w:tcPr>
            <w:tcW w:w="1242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star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№</w:t>
            </w:r>
          </w:p>
        </w:tc>
        <w:tc>
          <w:tcPr>
            <w:tcW w:w="5061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Наименование показателя</w:t>
            </w:r>
          </w:p>
        </w:tc>
        <w:tc>
          <w:tcPr>
            <w:tcW w:w="1910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Единица измерения</w:t>
            </w:r>
          </w:p>
        </w:tc>
        <w:tc>
          <w:tcPr>
            <w:tcW w:w="6573" w:type="dxa"/>
            <w:gridSpan w:val="4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Значения показателей по годам</w:t>
            </w:r>
          </w:p>
        </w:tc>
      </w:tr>
      <w:tr>
        <w:trPr/>
        <w:tc>
          <w:tcPr>
            <w:tcW w:w="124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start"/>
              <w:rPr>
                <w:rFonts w:ascii="Calibri" w:hAnsi="Calibri"/>
                <w:color w:val="000000"/>
                <w:spacing w:val="0"/>
                <w:kern w:val="0"/>
                <w:sz w:val="22"/>
                <w:szCs w:val="20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  <w:tc>
          <w:tcPr>
            <w:tcW w:w="506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start"/>
              <w:rPr>
                <w:rFonts w:ascii="Calibri" w:hAnsi="Calibri"/>
                <w:color w:val="000000"/>
                <w:spacing w:val="0"/>
                <w:kern w:val="0"/>
                <w:sz w:val="22"/>
                <w:szCs w:val="20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  <w:tc>
          <w:tcPr>
            <w:tcW w:w="19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start"/>
              <w:rPr>
                <w:rFonts w:ascii="Calibri" w:hAnsi="Calibri"/>
                <w:color w:val="000000"/>
                <w:spacing w:val="0"/>
                <w:kern w:val="0"/>
                <w:sz w:val="22"/>
                <w:szCs w:val="20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  <w:tc>
          <w:tcPr>
            <w:tcW w:w="164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202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5</w:t>
            </w:r>
          </w:p>
        </w:tc>
        <w:tc>
          <w:tcPr>
            <w:tcW w:w="1644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202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6</w:t>
            </w:r>
          </w:p>
        </w:tc>
        <w:tc>
          <w:tcPr>
            <w:tcW w:w="164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202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7</w:t>
            </w:r>
          </w:p>
        </w:tc>
        <w:tc>
          <w:tcPr>
            <w:tcW w:w="164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202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8</w:t>
            </w:r>
          </w:p>
        </w:tc>
      </w:tr>
      <w:tr>
        <w:trPr/>
        <w:tc>
          <w:tcPr>
            <w:tcW w:w="124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start"/>
              <w:rPr>
                <w:rFonts w:ascii="Calibri" w:hAnsi="Calibri"/>
                <w:color w:val="000000"/>
                <w:spacing w:val="0"/>
                <w:kern w:val="0"/>
                <w:sz w:val="22"/>
                <w:szCs w:val="20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  <w:tc>
          <w:tcPr>
            <w:tcW w:w="506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start"/>
              <w:rPr>
                <w:rFonts w:ascii="Calibri" w:hAnsi="Calibri"/>
                <w:color w:val="000000"/>
                <w:spacing w:val="0"/>
                <w:kern w:val="0"/>
                <w:sz w:val="22"/>
                <w:szCs w:val="20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  <w:tc>
          <w:tcPr>
            <w:tcW w:w="19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start"/>
              <w:rPr>
                <w:rFonts w:ascii="Calibri" w:hAnsi="Calibri"/>
                <w:color w:val="000000"/>
                <w:spacing w:val="0"/>
                <w:kern w:val="0"/>
                <w:sz w:val="22"/>
                <w:szCs w:val="20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  <w:tc>
          <w:tcPr>
            <w:tcW w:w="164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факт</w:t>
            </w:r>
          </w:p>
        </w:tc>
        <w:tc>
          <w:tcPr>
            <w:tcW w:w="1644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план</w:t>
            </w:r>
          </w:p>
        </w:tc>
        <w:tc>
          <w:tcPr>
            <w:tcW w:w="164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план</w:t>
            </w:r>
          </w:p>
        </w:tc>
        <w:tc>
          <w:tcPr>
            <w:tcW w:w="164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план</w:t>
            </w:r>
          </w:p>
        </w:tc>
      </w:tr>
      <w:tr>
        <w:trPr/>
        <w:tc>
          <w:tcPr>
            <w:tcW w:w="14786" w:type="dxa"/>
            <w:gridSpan w:val="7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Целевые показатели, характеризующие оснащенность приборами учета используемых энергетических ресурсов</w:t>
            </w:r>
          </w:p>
        </w:tc>
      </w:tr>
      <w:tr>
        <w:trPr/>
        <w:tc>
          <w:tcPr>
            <w:tcW w:w="1242" w:type="dxa"/>
            <w:tcBorders/>
          </w:tcPr>
          <w:p>
            <w:pPr>
              <w:pStyle w:val="Normal"/>
              <w:widowControl/>
              <w:numPr>
                <w:ilvl w:val="0"/>
                <w:numId w:val="9"/>
              </w:numPr>
              <w:spacing w:lineRule="auto" w:line="240" w:before="0" w:after="0"/>
              <w:ind w:hanging="360" w:start="1070" w:end="0"/>
              <w:contextualSpacing/>
              <w:jc w:val="star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</w:r>
          </w:p>
        </w:tc>
        <w:tc>
          <w:tcPr>
            <w:tcW w:w="5061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 xml:space="preserve">Доля потребляемой муниципальными учреждениями </w:t>
            </w: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8"/>
                <w:szCs w:val="20"/>
              </w:rPr>
              <w:t>электрической энергии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, приобретаемой по приборам учета, в общем объеме потребляемой электрической энергии муниципальными учреждениями на территории муниципального образования</w:t>
            </w:r>
          </w:p>
        </w:tc>
        <w:tc>
          <w:tcPr>
            <w:tcW w:w="1910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%</w:t>
            </w:r>
          </w:p>
        </w:tc>
        <w:tc>
          <w:tcPr>
            <w:tcW w:w="164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100</w:t>
            </w:r>
          </w:p>
        </w:tc>
        <w:tc>
          <w:tcPr>
            <w:tcW w:w="1644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100</w:t>
            </w:r>
          </w:p>
        </w:tc>
        <w:tc>
          <w:tcPr>
            <w:tcW w:w="164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100</w:t>
            </w:r>
          </w:p>
        </w:tc>
        <w:tc>
          <w:tcPr>
            <w:tcW w:w="164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100</w:t>
            </w:r>
          </w:p>
        </w:tc>
      </w:tr>
      <w:tr>
        <w:trPr/>
        <w:tc>
          <w:tcPr>
            <w:tcW w:w="14786" w:type="dxa"/>
            <w:gridSpan w:val="7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Целевые показатели, характеризующие потребление энергетических ресурсов муниципальных организаций, находящихся в ведении сельсовета</w:t>
            </w:r>
          </w:p>
        </w:tc>
      </w:tr>
      <w:tr>
        <w:trPr/>
        <w:tc>
          <w:tcPr>
            <w:tcW w:w="1242" w:type="dxa"/>
            <w:tcBorders/>
          </w:tcPr>
          <w:p>
            <w:pPr>
              <w:pStyle w:val="Normal"/>
              <w:widowControl/>
              <w:numPr>
                <w:ilvl w:val="0"/>
                <w:numId w:val="9"/>
              </w:numPr>
              <w:spacing w:lineRule="auto" w:line="240" w:before="0" w:after="0"/>
              <w:ind w:hanging="360" w:start="1070" w:end="0"/>
              <w:contextualSpacing/>
              <w:jc w:val="star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</w:r>
          </w:p>
        </w:tc>
        <w:tc>
          <w:tcPr>
            <w:tcW w:w="5061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Удельный расход тепловой энергии муниципальными учреждениями на территории муниципального образования</w:t>
            </w:r>
          </w:p>
        </w:tc>
        <w:tc>
          <w:tcPr>
            <w:tcW w:w="1910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Гкал / м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  <w:vertAlign w:val="superscript"/>
              </w:rPr>
              <w:t>2</w:t>
            </w:r>
          </w:p>
        </w:tc>
        <w:tc>
          <w:tcPr>
            <w:tcW w:w="1643" w:type="dxa"/>
            <w:tcBorders/>
          </w:tcPr>
          <w:p>
            <w:pPr>
              <w:pStyle w:val="Normal"/>
              <w:widowControl/>
              <w:spacing w:lineRule="auto" w:line="36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0,12</w:t>
            </w:r>
          </w:p>
        </w:tc>
        <w:tc>
          <w:tcPr>
            <w:tcW w:w="1644" w:type="dxa"/>
            <w:tcBorders/>
          </w:tcPr>
          <w:p>
            <w:pPr>
              <w:pStyle w:val="Normal"/>
              <w:widowControl/>
              <w:spacing w:lineRule="auto" w:line="36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0,12</w:t>
            </w:r>
          </w:p>
        </w:tc>
        <w:tc>
          <w:tcPr>
            <w:tcW w:w="1643" w:type="dxa"/>
            <w:tcBorders/>
          </w:tcPr>
          <w:p>
            <w:pPr>
              <w:pStyle w:val="Normal"/>
              <w:widowControl/>
              <w:spacing w:lineRule="auto" w:line="36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0,12</w:t>
            </w:r>
          </w:p>
        </w:tc>
        <w:tc>
          <w:tcPr>
            <w:tcW w:w="1643" w:type="dxa"/>
            <w:tcBorders/>
          </w:tcPr>
          <w:p>
            <w:pPr>
              <w:pStyle w:val="Normal"/>
              <w:widowControl/>
              <w:spacing w:lineRule="auto" w:line="36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0,12</w:t>
            </w:r>
          </w:p>
        </w:tc>
      </w:tr>
      <w:tr>
        <w:trPr/>
        <w:tc>
          <w:tcPr>
            <w:tcW w:w="14786" w:type="dxa"/>
            <w:gridSpan w:val="7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Целевые показатели, характеризующие использование энергетических ресурсов в жилищно-коммунальном хозяйстве муниципального образования</w:t>
            </w:r>
          </w:p>
        </w:tc>
      </w:tr>
      <w:tr>
        <w:trPr/>
        <w:tc>
          <w:tcPr>
            <w:tcW w:w="1242" w:type="dxa"/>
            <w:tcBorders/>
          </w:tcPr>
          <w:p>
            <w:pPr>
              <w:pStyle w:val="Normal"/>
              <w:widowControl/>
              <w:numPr>
                <w:ilvl w:val="0"/>
                <w:numId w:val="9"/>
              </w:numPr>
              <w:spacing w:lineRule="auto" w:line="240" w:before="0" w:after="0"/>
              <w:ind w:hanging="360" w:start="1070" w:end="0"/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</w:r>
          </w:p>
        </w:tc>
        <w:tc>
          <w:tcPr>
            <w:tcW w:w="5061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Доля энергоэффективных источников света в системах уличного освещения на территории муниципального образования</w:t>
            </w:r>
          </w:p>
        </w:tc>
        <w:tc>
          <w:tcPr>
            <w:tcW w:w="1910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%</w:t>
            </w:r>
          </w:p>
        </w:tc>
        <w:tc>
          <w:tcPr>
            <w:tcW w:w="164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100</w:t>
            </w:r>
          </w:p>
        </w:tc>
        <w:tc>
          <w:tcPr>
            <w:tcW w:w="1644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100</w:t>
            </w:r>
          </w:p>
        </w:tc>
        <w:tc>
          <w:tcPr>
            <w:tcW w:w="164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100</w:t>
            </w:r>
          </w:p>
        </w:tc>
        <w:tc>
          <w:tcPr>
            <w:tcW w:w="164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100</w:t>
            </w:r>
          </w:p>
        </w:tc>
      </w:tr>
    </w:tbl>
    <w:p>
      <w:pPr>
        <w:pStyle w:val="Normal"/>
        <w:spacing w:lineRule="auto" w:line="240" w:before="0" w:after="0"/>
        <w:ind w:firstLine="709" w:start="0" w:end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Таблица 11 - Общие сведения для расчета целевых показателей программы</w:t>
      </w:r>
    </w:p>
    <w:tbl>
      <w:tblPr>
        <w:tblStyle w:val="Style_2"/>
        <w:tblW w:w="1478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242"/>
        <w:gridCol w:w="5102"/>
        <w:gridCol w:w="1844"/>
        <w:gridCol w:w="1700"/>
        <w:gridCol w:w="1559"/>
        <w:gridCol w:w="1696"/>
        <w:gridCol w:w="1643"/>
      </w:tblGrid>
      <w:tr>
        <w:trPr/>
        <w:tc>
          <w:tcPr>
            <w:tcW w:w="1242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star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№</w:t>
            </w:r>
          </w:p>
        </w:tc>
        <w:tc>
          <w:tcPr>
            <w:tcW w:w="5102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Наименование показателя</w:t>
            </w:r>
          </w:p>
        </w:tc>
        <w:tc>
          <w:tcPr>
            <w:tcW w:w="1844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Единица измерения</w:t>
            </w:r>
          </w:p>
        </w:tc>
        <w:tc>
          <w:tcPr>
            <w:tcW w:w="6598" w:type="dxa"/>
            <w:gridSpan w:val="4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Значения показателей по годам</w:t>
            </w:r>
          </w:p>
        </w:tc>
      </w:tr>
      <w:tr>
        <w:trPr/>
        <w:tc>
          <w:tcPr>
            <w:tcW w:w="124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start"/>
              <w:rPr>
                <w:rFonts w:ascii="Calibri" w:hAnsi="Calibri"/>
                <w:color w:val="000000"/>
                <w:spacing w:val="0"/>
                <w:kern w:val="0"/>
                <w:sz w:val="22"/>
                <w:szCs w:val="20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  <w:tc>
          <w:tcPr>
            <w:tcW w:w="510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start"/>
              <w:rPr>
                <w:rFonts w:ascii="Calibri" w:hAnsi="Calibri"/>
                <w:color w:val="000000"/>
                <w:spacing w:val="0"/>
                <w:kern w:val="0"/>
                <w:sz w:val="22"/>
                <w:szCs w:val="20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  <w:tc>
          <w:tcPr>
            <w:tcW w:w="1844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start"/>
              <w:rPr>
                <w:rFonts w:ascii="Calibri" w:hAnsi="Calibri"/>
                <w:color w:val="000000"/>
                <w:spacing w:val="0"/>
                <w:kern w:val="0"/>
                <w:sz w:val="22"/>
                <w:szCs w:val="20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202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5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202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6</w:t>
            </w:r>
          </w:p>
        </w:tc>
        <w:tc>
          <w:tcPr>
            <w:tcW w:w="1696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202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7</w:t>
            </w:r>
          </w:p>
        </w:tc>
        <w:tc>
          <w:tcPr>
            <w:tcW w:w="164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202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8</w:t>
            </w:r>
          </w:p>
        </w:tc>
      </w:tr>
      <w:tr>
        <w:trPr/>
        <w:tc>
          <w:tcPr>
            <w:tcW w:w="124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start"/>
              <w:rPr>
                <w:rFonts w:ascii="Calibri" w:hAnsi="Calibri"/>
                <w:color w:val="000000"/>
                <w:spacing w:val="0"/>
                <w:kern w:val="0"/>
                <w:sz w:val="22"/>
                <w:szCs w:val="20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  <w:tc>
          <w:tcPr>
            <w:tcW w:w="510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start"/>
              <w:rPr>
                <w:rFonts w:ascii="Calibri" w:hAnsi="Calibri"/>
                <w:color w:val="000000"/>
                <w:spacing w:val="0"/>
                <w:kern w:val="0"/>
                <w:sz w:val="22"/>
                <w:szCs w:val="20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  <w:tc>
          <w:tcPr>
            <w:tcW w:w="1844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start"/>
              <w:rPr>
                <w:rFonts w:ascii="Calibri" w:hAnsi="Calibri"/>
                <w:color w:val="000000"/>
                <w:spacing w:val="0"/>
                <w:kern w:val="0"/>
                <w:sz w:val="22"/>
                <w:szCs w:val="20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факт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план</w:t>
            </w:r>
          </w:p>
        </w:tc>
        <w:tc>
          <w:tcPr>
            <w:tcW w:w="1696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план</w:t>
            </w:r>
          </w:p>
        </w:tc>
        <w:tc>
          <w:tcPr>
            <w:tcW w:w="164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план</w:t>
            </w:r>
          </w:p>
        </w:tc>
      </w:tr>
      <w:tr>
        <w:trPr/>
        <w:tc>
          <w:tcPr>
            <w:tcW w:w="1242" w:type="dxa"/>
            <w:tcBorders/>
          </w:tcPr>
          <w:p>
            <w:pPr>
              <w:pStyle w:val="Normal"/>
              <w:widowControl/>
              <w:numPr>
                <w:ilvl w:val="0"/>
                <w:numId w:val="10"/>
              </w:numPr>
              <w:spacing w:lineRule="auto" w:line="240" w:before="0" w:after="0"/>
              <w:ind w:hanging="360" w:start="1070" w:end="0"/>
              <w:contextualSpacing/>
              <w:jc w:val="star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</w:r>
          </w:p>
        </w:tc>
        <w:tc>
          <w:tcPr>
            <w:tcW w:w="5102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Общая площадь зданий и помещений учреждений муниципального образования</w:t>
            </w:r>
          </w:p>
        </w:tc>
        <w:tc>
          <w:tcPr>
            <w:tcW w:w="1844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  <w:vertAlign w:val="superscript"/>
              </w:rPr>
              <w:t>2</w:t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450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450</w:t>
            </w:r>
          </w:p>
        </w:tc>
        <w:tc>
          <w:tcPr>
            <w:tcW w:w="1696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450</w:t>
            </w:r>
          </w:p>
        </w:tc>
        <w:tc>
          <w:tcPr>
            <w:tcW w:w="164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450</w:t>
            </w:r>
          </w:p>
        </w:tc>
      </w:tr>
      <w:tr>
        <w:trPr/>
        <w:tc>
          <w:tcPr>
            <w:tcW w:w="1242" w:type="dxa"/>
            <w:tcBorders/>
          </w:tcPr>
          <w:p>
            <w:pPr>
              <w:pStyle w:val="Normal"/>
              <w:widowControl/>
              <w:numPr>
                <w:ilvl w:val="0"/>
                <w:numId w:val="10"/>
              </w:numPr>
              <w:spacing w:lineRule="auto" w:line="240" w:before="0" w:after="0"/>
              <w:ind w:hanging="360" w:start="1070" w:end="0"/>
              <w:contextualSpacing/>
              <w:jc w:val="star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</w:r>
          </w:p>
        </w:tc>
        <w:tc>
          <w:tcPr>
            <w:tcW w:w="5102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Объем потребления электроэнергии муниципальными учреждениями по приборам учета</w:t>
            </w:r>
          </w:p>
        </w:tc>
        <w:tc>
          <w:tcPr>
            <w:tcW w:w="1844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кВт х час</w:t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357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357</w:t>
            </w:r>
          </w:p>
        </w:tc>
        <w:tc>
          <w:tcPr>
            <w:tcW w:w="1696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357</w:t>
            </w:r>
          </w:p>
        </w:tc>
        <w:tc>
          <w:tcPr>
            <w:tcW w:w="164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357</w:t>
            </w:r>
          </w:p>
        </w:tc>
      </w:tr>
      <w:tr>
        <w:trPr/>
        <w:tc>
          <w:tcPr>
            <w:tcW w:w="1242" w:type="dxa"/>
            <w:tcBorders/>
          </w:tcPr>
          <w:p>
            <w:pPr>
              <w:pStyle w:val="Normal"/>
              <w:widowControl/>
              <w:numPr>
                <w:ilvl w:val="0"/>
                <w:numId w:val="10"/>
              </w:numPr>
              <w:spacing w:lineRule="auto" w:line="240" w:before="0" w:after="0"/>
              <w:ind w:hanging="360" w:start="1070" w:end="0"/>
              <w:contextualSpacing/>
              <w:jc w:val="star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</w:r>
          </w:p>
        </w:tc>
        <w:tc>
          <w:tcPr>
            <w:tcW w:w="5102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Объем потребления природного газа муниципальными учреждениями по приборам учета</w:t>
            </w:r>
          </w:p>
        </w:tc>
        <w:tc>
          <w:tcPr>
            <w:tcW w:w="1844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  <w:vertAlign w:val="superscript"/>
              </w:rPr>
              <w:t>3</w:t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</w:t>
            </w:r>
          </w:p>
        </w:tc>
        <w:tc>
          <w:tcPr>
            <w:tcW w:w="1696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</w:t>
            </w:r>
          </w:p>
        </w:tc>
        <w:tc>
          <w:tcPr>
            <w:tcW w:w="164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</w:t>
            </w:r>
          </w:p>
        </w:tc>
      </w:tr>
      <w:tr>
        <w:trPr>
          <w:trHeight w:val="1095" w:hRule="atLeast"/>
        </w:trPr>
        <w:tc>
          <w:tcPr>
            <w:tcW w:w="1242" w:type="dxa"/>
            <w:tcBorders/>
          </w:tcPr>
          <w:p>
            <w:pPr>
              <w:pStyle w:val="Normal"/>
              <w:widowControl/>
              <w:numPr>
                <w:ilvl w:val="0"/>
                <w:numId w:val="10"/>
              </w:numPr>
              <w:spacing w:lineRule="auto" w:line="240" w:before="0" w:after="0"/>
              <w:ind w:hanging="360" w:start="1070" w:end="0"/>
              <w:contextualSpacing/>
              <w:jc w:val="star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</w:r>
          </w:p>
        </w:tc>
        <w:tc>
          <w:tcPr>
            <w:tcW w:w="5102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Количество энергоэффективных светильников в системах уличного освещения сельсовета</w:t>
            </w:r>
          </w:p>
        </w:tc>
        <w:tc>
          <w:tcPr>
            <w:tcW w:w="1844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ед.</w:t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0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28</w:t>
            </w:r>
          </w:p>
        </w:tc>
        <w:tc>
          <w:tcPr>
            <w:tcW w:w="1696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28</w:t>
            </w:r>
          </w:p>
        </w:tc>
        <w:tc>
          <w:tcPr>
            <w:tcW w:w="164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28</w:t>
            </w:r>
          </w:p>
        </w:tc>
      </w:tr>
      <w:tr>
        <w:trPr/>
        <w:tc>
          <w:tcPr>
            <w:tcW w:w="1242" w:type="dxa"/>
            <w:tcBorders/>
          </w:tcPr>
          <w:p>
            <w:pPr>
              <w:pStyle w:val="Normal"/>
              <w:widowControl/>
              <w:numPr>
                <w:ilvl w:val="0"/>
                <w:numId w:val="10"/>
              </w:numPr>
              <w:spacing w:lineRule="auto" w:line="240" w:before="0" w:after="0"/>
              <w:ind w:hanging="360" w:start="1070" w:end="0"/>
              <w:contextualSpacing/>
              <w:jc w:val="star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</w:r>
          </w:p>
        </w:tc>
        <w:tc>
          <w:tcPr>
            <w:tcW w:w="5102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Общее количество установленных светильников в системе уличного освещения сельсовета</w:t>
            </w:r>
          </w:p>
        </w:tc>
        <w:tc>
          <w:tcPr>
            <w:tcW w:w="1844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ед.</w:t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0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28</w:t>
            </w:r>
          </w:p>
        </w:tc>
        <w:tc>
          <w:tcPr>
            <w:tcW w:w="1696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28</w:t>
            </w:r>
          </w:p>
        </w:tc>
        <w:tc>
          <w:tcPr>
            <w:tcW w:w="164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28</w:t>
            </w:r>
          </w:p>
        </w:tc>
      </w:tr>
    </w:tbl>
    <w:p>
      <w:pPr>
        <w:pStyle w:val="Normal"/>
        <w:spacing w:lineRule="auto" w:line="240" w:before="0" w:after="0"/>
        <w:ind w:firstLine="709" w:start="0" w:end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hanging="0" w:start="7797" w:end="-31"/>
        <w:jc w:val="end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hanging="0" w:start="7797" w:end="-31"/>
        <w:jc w:val="end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hanging="0" w:start="7797" w:end="-31"/>
        <w:jc w:val="end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hanging="0" w:start="7797" w:end="-31"/>
        <w:jc w:val="end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hanging="0" w:start="7797" w:end="-31"/>
        <w:jc w:val="end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hanging="0" w:start="7797" w:end="-31"/>
        <w:jc w:val="end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hanging="0" w:start="7797" w:end="-31"/>
        <w:jc w:val="end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hanging="0" w:start="7797" w:end="-31"/>
        <w:jc w:val="end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№1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Сведения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 показателях (индикаторах) муниципальной программы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</w:p>
    <w:tbl>
      <w:tblPr>
        <w:tblStyle w:val="Style_6"/>
        <w:tblW w:w="14395" w:type="dxa"/>
        <w:jc w:val="start"/>
        <w:tblInd w:w="25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696"/>
        <w:gridCol w:w="6108"/>
        <w:gridCol w:w="1494"/>
        <w:gridCol w:w="1525"/>
        <w:gridCol w:w="1524"/>
        <w:gridCol w:w="1523"/>
        <w:gridCol w:w="1525"/>
      </w:tblGrid>
      <w:tr>
        <w:trPr/>
        <w:tc>
          <w:tcPr>
            <w:tcW w:w="696" w:type="dxa"/>
            <w:vMerge w:val="restart"/>
            <w:tcBorders>
              <w:top w:val="single" w:sz="4" w:space="0" w:color="836967"/>
              <w:start w:val="single" w:sz="4" w:space="0" w:color="836967"/>
              <w:bottom w:val="single" w:sz="4" w:space="0" w:color="836967"/>
              <w:end w:val="single" w:sz="4" w:space="0" w:color="836967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4"/>
                <w:szCs w:val="20"/>
              </w:rPr>
              <w:t>№</w:t>
            </w:r>
          </w:p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4"/>
                <w:szCs w:val="20"/>
              </w:rPr>
              <w:t>п/п</w:t>
            </w:r>
          </w:p>
        </w:tc>
        <w:tc>
          <w:tcPr>
            <w:tcW w:w="6108" w:type="dxa"/>
            <w:vMerge w:val="restart"/>
            <w:tcBorders>
              <w:top w:val="single" w:sz="4" w:space="0" w:color="836967"/>
              <w:start w:val="single" w:sz="4" w:space="0" w:color="836967"/>
              <w:bottom w:val="single" w:sz="4" w:space="0" w:color="836967"/>
              <w:end w:val="single" w:sz="4" w:space="0" w:color="836967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4"/>
                <w:szCs w:val="20"/>
              </w:rPr>
              <w:t>Наименование показателя (индикатора)</w:t>
            </w:r>
          </w:p>
        </w:tc>
        <w:tc>
          <w:tcPr>
            <w:tcW w:w="1494" w:type="dxa"/>
            <w:vMerge w:val="restart"/>
            <w:tcBorders>
              <w:top w:val="single" w:sz="4" w:space="0" w:color="836967"/>
              <w:start w:val="single" w:sz="4" w:space="0" w:color="836967"/>
              <w:bottom w:val="single" w:sz="4" w:space="0" w:color="836967"/>
              <w:end w:val="single" w:sz="4" w:space="0" w:color="836967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4"/>
                <w:szCs w:val="20"/>
              </w:rPr>
              <w:t>Ед. изм.</w:t>
            </w:r>
          </w:p>
        </w:tc>
        <w:tc>
          <w:tcPr>
            <w:tcW w:w="6097" w:type="dxa"/>
            <w:gridSpan w:val="4"/>
            <w:tcBorders>
              <w:top w:val="single" w:sz="4" w:space="0" w:color="836967"/>
              <w:start w:val="single" w:sz="4" w:space="0" w:color="836967"/>
              <w:bottom w:val="single" w:sz="4" w:space="0" w:color="836967"/>
              <w:end w:val="single" w:sz="4" w:space="0" w:color="836967"/>
            </w:tcBorders>
            <w:shd w:fill="auto" w:val="clear"/>
            <w:tcMar>
              <w:start w:w="10" w:type="dxa"/>
              <w:end w:w="10" w:type="dxa"/>
            </w:tcMar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4"/>
                <w:szCs w:val="20"/>
              </w:rPr>
              <w:t>Значения показателей</w:t>
            </w:r>
          </w:p>
        </w:tc>
      </w:tr>
      <w:tr>
        <w:trPr/>
        <w:tc>
          <w:tcPr>
            <w:tcW w:w="696" w:type="dxa"/>
            <w:vMerge w:val="continue"/>
            <w:tcBorders>
              <w:top w:val="single" w:sz="4" w:space="0" w:color="836967"/>
              <w:start w:val="single" w:sz="4" w:space="0" w:color="836967"/>
              <w:bottom w:val="single" w:sz="4" w:space="0" w:color="836967"/>
              <w:end w:val="single" w:sz="4" w:space="0" w:color="836967"/>
            </w:tcBorders>
            <w:shd w:fill="auto" w:val="clear"/>
          </w:tcPr>
          <w:p>
            <w:pPr>
              <w:pStyle w:val="Normal"/>
              <w:widowControl/>
              <w:spacing w:lineRule="auto" w:line="264" w:before="0" w:after="160"/>
              <w:ind w:hanging="0" w:start="0" w:end="0"/>
              <w:jc w:val="start"/>
              <w:rPr>
                <w:rFonts w:ascii="Calibri" w:hAnsi="Calibri"/>
                <w:color w:val="000000"/>
                <w:spacing w:val="0"/>
                <w:kern w:val="0"/>
                <w:sz w:val="22"/>
                <w:szCs w:val="20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  <w:tc>
          <w:tcPr>
            <w:tcW w:w="6108" w:type="dxa"/>
            <w:vMerge w:val="continue"/>
            <w:tcBorders>
              <w:top w:val="single" w:sz="4" w:space="0" w:color="836967"/>
              <w:start w:val="single" w:sz="4" w:space="0" w:color="836967"/>
              <w:bottom w:val="single" w:sz="4" w:space="0" w:color="836967"/>
              <w:end w:val="single" w:sz="4" w:space="0" w:color="836967"/>
            </w:tcBorders>
            <w:shd w:fill="auto" w:val="clear"/>
          </w:tcPr>
          <w:p>
            <w:pPr>
              <w:pStyle w:val="Normal"/>
              <w:widowControl/>
              <w:spacing w:lineRule="auto" w:line="264" w:before="0" w:after="160"/>
              <w:ind w:hanging="0" w:start="0" w:end="0"/>
              <w:jc w:val="start"/>
              <w:rPr>
                <w:rFonts w:ascii="Calibri" w:hAnsi="Calibri"/>
                <w:color w:val="000000"/>
                <w:spacing w:val="0"/>
                <w:kern w:val="0"/>
                <w:sz w:val="22"/>
                <w:szCs w:val="20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  <w:tc>
          <w:tcPr>
            <w:tcW w:w="1494" w:type="dxa"/>
            <w:vMerge w:val="continue"/>
            <w:tcBorders>
              <w:top w:val="single" w:sz="4" w:space="0" w:color="836967"/>
              <w:start w:val="single" w:sz="4" w:space="0" w:color="836967"/>
              <w:bottom w:val="single" w:sz="4" w:space="0" w:color="836967"/>
              <w:end w:val="single" w:sz="4" w:space="0" w:color="836967"/>
            </w:tcBorders>
            <w:shd w:fill="auto" w:val="clear"/>
          </w:tcPr>
          <w:p>
            <w:pPr>
              <w:pStyle w:val="Normal"/>
              <w:widowControl/>
              <w:spacing w:lineRule="auto" w:line="264" w:before="0" w:after="160"/>
              <w:ind w:hanging="0" w:start="0" w:end="0"/>
              <w:jc w:val="start"/>
              <w:rPr>
                <w:rFonts w:ascii="Calibri" w:hAnsi="Calibri"/>
                <w:color w:val="000000"/>
                <w:spacing w:val="0"/>
                <w:kern w:val="0"/>
                <w:sz w:val="22"/>
                <w:szCs w:val="20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  <w:tc>
          <w:tcPr>
            <w:tcW w:w="1525" w:type="dxa"/>
            <w:tcBorders>
              <w:top w:val="single" w:sz="4" w:space="0" w:color="836967"/>
              <w:start w:val="single" w:sz="4" w:space="0" w:color="836967"/>
              <w:bottom w:val="single" w:sz="4" w:space="0" w:color="836967"/>
              <w:end w:val="single" w:sz="4" w:space="0" w:color="836967"/>
            </w:tcBorders>
            <w:tcMar>
              <w:start w:w="10" w:type="dxa"/>
              <w:end w:w="10" w:type="dxa"/>
            </w:tcMar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4"/>
                <w:szCs w:val="20"/>
              </w:rPr>
              <w:t>202</w:t>
            </w: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4"/>
                <w:szCs w:val="20"/>
              </w:rPr>
              <w:t>5</w:t>
            </w:r>
          </w:p>
        </w:tc>
        <w:tc>
          <w:tcPr>
            <w:tcW w:w="1524" w:type="dxa"/>
            <w:tcBorders>
              <w:top w:val="single" w:sz="4" w:space="0" w:color="836967"/>
              <w:start w:val="single" w:sz="4" w:space="0" w:color="836967"/>
              <w:bottom w:val="single" w:sz="4" w:space="0" w:color="836967"/>
              <w:end w:val="single" w:sz="4" w:space="0" w:color="836967"/>
            </w:tcBorders>
            <w:tcMar>
              <w:start w:w="10" w:type="dxa"/>
              <w:end w:w="10" w:type="dxa"/>
            </w:tcMar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4"/>
                <w:szCs w:val="20"/>
              </w:rPr>
              <w:t>202</w:t>
            </w: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4"/>
                <w:szCs w:val="20"/>
              </w:rPr>
              <w:t>6</w:t>
            </w:r>
          </w:p>
        </w:tc>
        <w:tc>
          <w:tcPr>
            <w:tcW w:w="1523" w:type="dxa"/>
            <w:tcBorders>
              <w:top w:val="single" w:sz="4" w:space="0" w:color="836967"/>
              <w:start w:val="single" w:sz="4" w:space="0" w:color="836967"/>
              <w:bottom w:val="single" w:sz="4" w:space="0" w:color="836967"/>
              <w:end w:val="single" w:sz="4" w:space="0" w:color="836967"/>
            </w:tcBorders>
            <w:tcMar>
              <w:start w:w="10" w:type="dxa"/>
              <w:end w:w="10" w:type="dxa"/>
            </w:tcMar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4"/>
                <w:szCs w:val="20"/>
              </w:rPr>
              <w:t>202</w:t>
            </w: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4"/>
                <w:szCs w:val="20"/>
              </w:rPr>
              <w:t>7</w:t>
            </w:r>
          </w:p>
        </w:tc>
        <w:tc>
          <w:tcPr>
            <w:tcW w:w="1525" w:type="dxa"/>
            <w:tcBorders>
              <w:top w:val="single" w:sz="4" w:space="0" w:color="836967"/>
              <w:start w:val="single" w:sz="4" w:space="0" w:color="836967"/>
              <w:bottom w:val="single" w:sz="4" w:space="0" w:color="836967"/>
              <w:end w:val="single" w:sz="4" w:space="0" w:color="836967"/>
            </w:tcBorders>
            <w:tcMar>
              <w:start w:w="10" w:type="dxa"/>
              <w:end w:w="10" w:type="dxa"/>
            </w:tcMar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4"/>
                <w:szCs w:val="20"/>
              </w:rPr>
              <w:t>202</w:t>
            </w: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4"/>
                <w:szCs w:val="20"/>
              </w:rPr>
              <w:t>8</w:t>
            </w:r>
          </w:p>
        </w:tc>
      </w:tr>
      <w:tr>
        <w:trPr/>
        <w:tc>
          <w:tcPr>
            <w:tcW w:w="696" w:type="dxa"/>
            <w:tcBorders>
              <w:top w:val="single" w:sz="4" w:space="0" w:color="836967"/>
              <w:start w:val="single" w:sz="4" w:space="0" w:color="836967"/>
              <w:bottom w:val="single" w:sz="4" w:space="0" w:color="836967"/>
              <w:end w:val="single" w:sz="4" w:space="0" w:color="836967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6108" w:type="dxa"/>
            <w:tcBorders>
              <w:top w:val="single" w:sz="4" w:space="0" w:color="836967"/>
              <w:start w:val="single" w:sz="4" w:space="0" w:color="836967"/>
              <w:bottom w:val="single" w:sz="4" w:space="0" w:color="836967"/>
              <w:end w:val="single" w:sz="4" w:space="0" w:color="836967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4"/>
                <w:szCs w:val="20"/>
              </w:rPr>
              <w:t>2</w:t>
            </w:r>
          </w:p>
        </w:tc>
        <w:tc>
          <w:tcPr>
            <w:tcW w:w="1494" w:type="dxa"/>
            <w:tcBorders>
              <w:top w:val="single" w:sz="4" w:space="0" w:color="836967"/>
              <w:start w:val="single" w:sz="4" w:space="0" w:color="836967"/>
              <w:bottom w:val="single" w:sz="4" w:space="0" w:color="836967"/>
              <w:end w:val="single" w:sz="4" w:space="0" w:color="836967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1525" w:type="dxa"/>
            <w:tcBorders>
              <w:top w:val="single" w:sz="4" w:space="0" w:color="836967"/>
              <w:start w:val="single" w:sz="4" w:space="0" w:color="836967"/>
              <w:bottom w:val="single" w:sz="4" w:space="0" w:color="836967"/>
              <w:end w:val="single" w:sz="4" w:space="0" w:color="836967"/>
            </w:tcBorders>
            <w:tcMar>
              <w:start w:w="10" w:type="dxa"/>
              <w:end w:w="10" w:type="dxa"/>
            </w:tcMar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4"/>
                <w:szCs w:val="20"/>
              </w:rPr>
              <w:t>5</w:t>
            </w:r>
          </w:p>
        </w:tc>
        <w:tc>
          <w:tcPr>
            <w:tcW w:w="1524" w:type="dxa"/>
            <w:tcBorders>
              <w:top w:val="single" w:sz="4" w:space="0" w:color="836967"/>
              <w:start w:val="single" w:sz="4" w:space="0" w:color="836967"/>
              <w:bottom w:val="single" w:sz="4" w:space="0" w:color="836967"/>
              <w:end w:val="single" w:sz="4" w:space="0" w:color="836967"/>
            </w:tcBorders>
            <w:tcMar>
              <w:start w:w="10" w:type="dxa"/>
              <w:end w:w="10" w:type="dxa"/>
            </w:tcMar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4"/>
                <w:szCs w:val="20"/>
              </w:rPr>
              <w:t>6</w:t>
            </w:r>
          </w:p>
        </w:tc>
        <w:tc>
          <w:tcPr>
            <w:tcW w:w="1523" w:type="dxa"/>
            <w:tcBorders>
              <w:top w:val="single" w:sz="4" w:space="0" w:color="836967"/>
              <w:start w:val="single" w:sz="4" w:space="0" w:color="836967"/>
              <w:bottom w:val="single" w:sz="4" w:space="0" w:color="836967"/>
              <w:end w:val="single" w:sz="4" w:space="0" w:color="836967"/>
            </w:tcBorders>
            <w:tcMar>
              <w:start w:w="10" w:type="dxa"/>
              <w:end w:w="10" w:type="dxa"/>
            </w:tcMar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4"/>
                <w:szCs w:val="20"/>
              </w:rPr>
              <w:t>7</w:t>
            </w:r>
          </w:p>
        </w:tc>
        <w:tc>
          <w:tcPr>
            <w:tcW w:w="1525" w:type="dxa"/>
            <w:tcBorders>
              <w:top w:val="single" w:sz="4" w:space="0" w:color="836967"/>
              <w:start w:val="single" w:sz="4" w:space="0" w:color="836967"/>
              <w:bottom w:val="single" w:sz="4" w:space="0" w:color="836967"/>
              <w:end w:val="single" w:sz="4" w:space="0" w:color="836967"/>
            </w:tcBorders>
            <w:tcMar>
              <w:start w:w="10" w:type="dxa"/>
              <w:end w:w="10" w:type="dxa"/>
            </w:tcMar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4"/>
                <w:szCs w:val="20"/>
              </w:rPr>
              <w:t>8</w:t>
            </w:r>
          </w:p>
        </w:tc>
      </w:tr>
      <w:tr>
        <w:trPr>
          <w:trHeight w:val="1811" w:hRule="atLeast"/>
        </w:trPr>
        <w:tc>
          <w:tcPr>
            <w:tcW w:w="696" w:type="dxa"/>
            <w:tcBorders>
              <w:top w:val="single" w:sz="4" w:space="0" w:color="836967"/>
              <w:start w:val="single" w:sz="4" w:space="0" w:color="836967"/>
              <w:bottom w:val="single" w:sz="4" w:space="0" w:color="836967"/>
              <w:end w:val="single" w:sz="4" w:space="0" w:color="836967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6108" w:type="dxa"/>
            <w:tcBorders>
              <w:top w:val="single" w:sz="4" w:space="0" w:color="836967"/>
              <w:start w:val="single" w:sz="4" w:space="0" w:color="836967"/>
              <w:bottom w:val="single" w:sz="4" w:space="0" w:color="836967"/>
              <w:end w:val="single" w:sz="4" w:space="0" w:color="836967"/>
            </w:tcBorders>
            <w:shd w:fill="auto" w:val="clear"/>
          </w:tcPr>
          <w:p>
            <w:pPr>
              <w:pStyle w:val="Normal"/>
              <w:widowControl/>
              <w:spacing w:lineRule="auto" w:line="264" w:before="0" w:after="160"/>
              <w:ind w:hanging="0" w:start="0" w:end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 xml:space="preserve">Доля потребляемой муниципальными учреждениями </w:t>
            </w: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4"/>
                <w:szCs w:val="20"/>
              </w:rPr>
              <w:t>электрической энергии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, приобретаемой по приборам учета, в общем объеме потребляемой электрической энергии муниципальными учреждениями на территории муниципального образования</w:t>
            </w:r>
          </w:p>
        </w:tc>
        <w:tc>
          <w:tcPr>
            <w:tcW w:w="1494" w:type="dxa"/>
            <w:tcBorders>
              <w:top w:val="single" w:sz="4" w:space="0" w:color="836967"/>
              <w:start w:val="single" w:sz="4" w:space="0" w:color="836967"/>
              <w:bottom w:val="single" w:sz="4" w:space="0" w:color="836967"/>
              <w:end w:val="single" w:sz="4" w:space="0" w:color="836967"/>
            </w:tcBorders>
            <w:shd w:fill="auto" w:val="clear"/>
          </w:tcPr>
          <w:p>
            <w:pPr>
              <w:pStyle w:val="Normal"/>
              <w:widowControl/>
              <w:spacing w:lineRule="auto" w:line="264" w:before="0" w:after="160"/>
              <w:ind w:hanging="0" w:start="0" w:end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%</w:t>
            </w:r>
          </w:p>
        </w:tc>
        <w:tc>
          <w:tcPr>
            <w:tcW w:w="1525" w:type="dxa"/>
            <w:tcBorders>
              <w:top w:val="single" w:sz="4" w:space="0" w:color="836967"/>
              <w:start w:val="single" w:sz="4" w:space="0" w:color="836967"/>
              <w:bottom w:val="single" w:sz="4" w:space="0" w:color="836967"/>
              <w:end w:val="single" w:sz="4" w:space="0" w:color="836967"/>
            </w:tcBorders>
            <w:tcMar>
              <w:start w:w="10" w:type="dxa"/>
              <w:end w:w="10" w:type="dxa"/>
            </w:tcMar>
          </w:tcPr>
          <w:p>
            <w:pPr>
              <w:pStyle w:val="Normal"/>
              <w:widowControl/>
              <w:spacing w:lineRule="auto" w:line="264" w:before="0" w:after="160"/>
              <w:ind w:hanging="0" w:start="0" w:end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100</w:t>
            </w:r>
          </w:p>
        </w:tc>
        <w:tc>
          <w:tcPr>
            <w:tcW w:w="1524" w:type="dxa"/>
            <w:tcBorders>
              <w:top w:val="single" w:sz="4" w:space="0" w:color="836967"/>
              <w:start w:val="single" w:sz="4" w:space="0" w:color="836967"/>
              <w:bottom w:val="single" w:sz="4" w:space="0" w:color="836967"/>
              <w:end w:val="single" w:sz="4" w:space="0" w:color="836967"/>
            </w:tcBorders>
            <w:tcMar>
              <w:start w:w="10" w:type="dxa"/>
              <w:end w:w="10" w:type="dxa"/>
            </w:tcMar>
          </w:tcPr>
          <w:p>
            <w:pPr>
              <w:pStyle w:val="Normal"/>
              <w:widowControl/>
              <w:spacing w:lineRule="auto" w:line="264" w:before="0" w:after="160"/>
              <w:ind w:hanging="0" w:start="0" w:end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100</w:t>
            </w:r>
          </w:p>
        </w:tc>
        <w:tc>
          <w:tcPr>
            <w:tcW w:w="1523" w:type="dxa"/>
            <w:tcBorders>
              <w:top w:val="single" w:sz="4" w:space="0" w:color="836967"/>
              <w:start w:val="single" w:sz="4" w:space="0" w:color="836967"/>
              <w:bottom w:val="single" w:sz="4" w:space="0" w:color="836967"/>
              <w:end w:val="single" w:sz="4" w:space="0" w:color="836967"/>
            </w:tcBorders>
            <w:tcMar>
              <w:start w:w="10" w:type="dxa"/>
              <w:end w:w="10" w:type="dxa"/>
            </w:tcMar>
          </w:tcPr>
          <w:p>
            <w:pPr>
              <w:pStyle w:val="Normal"/>
              <w:widowControl/>
              <w:spacing w:lineRule="auto" w:line="264" w:before="0" w:after="160"/>
              <w:ind w:hanging="0" w:start="0" w:end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100</w:t>
            </w:r>
          </w:p>
        </w:tc>
        <w:tc>
          <w:tcPr>
            <w:tcW w:w="1525" w:type="dxa"/>
            <w:tcBorders>
              <w:top w:val="single" w:sz="4" w:space="0" w:color="836967"/>
              <w:start w:val="single" w:sz="4" w:space="0" w:color="836967"/>
              <w:bottom w:val="single" w:sz="4" w:space="0" w:color="836967"/>
              <w:end w:val="single" w:sz="4" w:space="0" w:color="836967"/>
            </w:tcBorders>
            <w:tcMar>
              <w:start w:w="10" w:type="dxa"/>
              <w:end w:w="10" w:type="dxa"/>
            </w:tcMar>
          </w:tcPr>
          <w:p>
            <w:pPr>
              <w:pStyle w:val="Normal"/>
              <w:widowControl/>
              <w:spacing w:lineRule="auto" w:line="264" w:before="0" w:after="160"/>
              <w:ind w:hanging="0" w:start="0" w:end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100</w:t>
            </w:r>
          </w:p>
        </w:tc>
      </w:tr>
      <w:tr>
        <w:trPr>
          <w:trHeight w:val="1120" w:hRule="atLeast"/>
        </w:trPr>
        <w:tc>
          <w:tcPr>
            <w:tcW w:w="696" w:type="dxa"/>
            <w:tcBorders>
              <w:top w:val="single" w:sz="4" w:space="0" w:color="836967"/>
              <w:start w:val="single" w:sz="4" w:space="0" w:color="836967"/>
              <w:bottom w:val="single" w:sz="4" w:space="0" w:color="836967"/>
              <w:end w:val="single" w:sz="4" w:space="0" w:color="836967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4"/>
                <w:szCs w:val="20"/>
              </w:rPr>
              <w:t>2</w:t>
            </w:r>
          </w:p>
        </w:tc>
        <w:tc>
          <w:tcPr>
            <w:tcW w:w="6108" w:type="dxa"/>
            <w:tcBorders>
              <w:top w:val="single" w:sz="4" w:space="0" w:color="836967"/>
              <w:start w:val="single" w:sz="4" w:space="0" w:color="836967"/>
              <w:bottom w:val="single" w:sz="4" w:space="0" w:color="836967"/>
              <w:end w:val="single" w:sz="4" w:space="0" w:color="836967"/>
            </w:tcBorders>
            <w:shd w:fill="auto" w:val="clear"/>
          </w:tcPr>
          <w:p>
            <w:pPr>
              <w:pStyle w:val="Normal"/>
              <w:widowControl/>
              <w:spacing w:lineRule="auto" w:line="264" w:before="0" w:after="160"/>
              <w:ind w:hanging="0" w:start="0" w:end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Доля потребляемого муниципальными учреждениями природного газа, приобретаемого по приборам учета, в общем объеме потребляемого природного газа муниципальными учреждениями на территории муниципального образования</w:t>
            </w:r>
          </w:p>
        </w:tc>
        <w:tc>
          <w:tcPr>
            <w:tcW w:w="1494" w:type="dxa"/>
            <w:tcBorders>
              <w:top w:val="single" w:sz="4" w:space="0" w:color="836967"/>
              <w:start w:val="single" w:sz="4" w:space="0" w:color="836967"/>
              <w:bottom w:val="single" w:sz="4" w:space="0" w:color="836967"/>
              <w:end w:val="single" w:sz="4" w:space="0" w:color="836967"/>
            </w:tcBorders>
            <w:shd w:fill="auto" w:val="clear"/>
          </w:tcPr>
          <w:p>
            <w:pPr>
              <w:pStyle w:val="Normal"/>
              <w:widowControl/>
              <w:spacing w:lineRule="auto" w:line="264" w:before="0" w:after="160"/>
              <w:ind w:hanging="0" w:start="0" w:end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%</w:t>
            </w:r>
          </w:p>
        </w:tc>
        <w:tc>
          <w:tcPr>
            <w:tcW w:w="1525" w:type="dxa"/>
            <w:tcBorders>
              <w:top w:val="single" w:sz="4" w:space="0" w:color="836967"/>
              <w:start w:val="single" w:sz="4" w:space="0" w:color="836967"/>
              <w:bottom w:val="single" w:sz="4" w:space="0" w:color="836967"/>
              <w:end w:val="single" w:sz="4" w:space="0" w:color="836967"/>
            </w:tcBorders>
            <w:tcMar>
              <w:start w:w="10" w:type="dxa"/>
              <w:end w:w="10" w:type="dxa"/>
            </w:tcMar>
          </w:tcPr>
          <w:p>
            <w:pPr>
              <w:pStyle w:val="Normal"/>
              <w:widowControl/>
              <w:spacing w:lineRule="auto" w:line="264" w:before="0" w:after="160"/>
              <w:ind w:hanging="0" w:start="0" w:end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836967"/>
              <w:start w:val="single" w:sz="4" w:space="0" w:color="836967"/>
              <w:bottom w:val="single" w:sz="4" w:space="0" w:color="836967"/>
              <w:end w:val="single" w:sz="4" w:space="0" w:color="836967"/>
            </w:tcBorders>
            <w:tcMar>
              <w:start w:w="10" w:type="dxa"/>
              <w:end w:w="10" w:type="dxa"/>
            </w:tcMar>
          </w:tcPr>
          <w:p>
            <w:pPr>
              <w:pStyle w:val="Normal"/>
              <w:widowControl/>
              <w:spacing w:lineRule="auto" w:line="264" w:before="0" w:after="160"/>
              <w:ind w:hanging="0" w:start="0" w:end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-</w:t>
            </w:r>
          </w:p>
        </w:tc>
        <w:tc>
          <w:tcPr>
            <w:tcW w:w="1523" w:type="dxa"/>
            <w:tcBorders>
              <w:top w:val="single" w:sz="4" w:space="0" w:color="836967"/>
              <w:start w:val="single" w:sz="4" w:space="0" w:color="836967"/>
              <w:bottom w:val="single" w:sz="4" w:space="0" w:color="836967"/>
              <w:end w:val="single" w:sz="4" w:space="0" w:color="836967"/>
            </w:tcBorders>
            <w:tcMar>
              <w:start w:w="10" w:type="dxa"/>
              <w:end w:w="10" w:type="dxa"/>
            </w:tcMar>
          </w:tcPr>
          <w:p>
            <w:pPr>
              <w:pStyle w:val="Normal"/>
              <w:widowControl/>
              <w:spacing w:lineRule="auto" w:line="264" w:before="0" w:after="160"/>
              <w:ind w:hanging="0" w:start="0" w:end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836967"/>
              <w:start w:val="single" w:sz="4" w:space="0" w:color="836967"/>
              <w:bottom w:val="single" w:sz="4" w:space="0" w:color="836967"/>
              <w:end w:val="single" w:sz="4" w:space="0" w:color="836967"/>
            </w:tcBorders>
            <w:tcMar>
              <w:start w:w="10" w:type="dxa"/>
              <w:end w:w="10" w:type="dxa"/>
            </w:tcMar>
          </w:tcPr>
          <w:p>
            <w:pPr>
              <w:pStyle w:val="Normal"/>
              <w:widowControl/>
              <w:spacing w:lineRule="auto" w:line="264" w:before="0" w:after="160"/>
              <w:ind w:hanging="0" w:start="0" w:end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-</w:t>
            </w:r>
          </w:p>
        </w:tc>
      </w:tr>
      <w:tr>
        <w:trPr>
          <w:trHeight w:val="54" w:hRule="atLeast"/>
        </w:trPr>
        <w:tc>
          <w:tcPr>
            <w:tcW w:w="696" w:type="dxa"/>
            <w:tcBorders>
              <w:top w:val="single" w:sz="4" w:space="0" w:color="836967"/>
              <w:start w:val="single" w:sz="4" w:space="0" w:color="836967"/>
              <w:bottom w:val="single" w:sz="4" w:space="0" w:color="836967"/>
              <w:end w:val="single" w:sz="4" w:space="0" w:color="836967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6108" w:type="dxa"/>
            <w:tcBorders>
              <w:top w:val="single" w:sz="4" w:space="0" w:color="836967"/>
              <w:start w:val="single" w:sz="4" w:space="0" w:color="836967"/>
              <w:bottom w:val="single" w:sz="4" w:space="0" w:color="836967"/>
              <w:end w:val="single" w:sz="4" w:space="0" w:color="836967"/>
            </w:tcBorders>
            <w:shd w:fill="auto" w:val="clear"/>
          </w:tcPr>
          <w:p>
            <w:pPr>
              <w:pStyle w:val="Normal"/>
              <w:widowControl/>
              <w:spacing w:lineRule="auto" w:line="264" w:before="0" w:after="160"/>
              <w:ind w:hanging="0" w:start="0" w:end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Удельный расход тепловой энергии муниципальными учреждениями на территории муниципального образования</w:t>
            </w:r>
          </w:p>
        </w:tc>
        <w:tc>
          <w:tcPr>
            <w:tcW w:w="1494" w:type="dxa"/>
            <w:tcBorders>
              <w:top w:val="single" w:sz="4" w:space="0" w:color="836967"/>
              <w:start w:val="single" w:sz="4" w:space="0" w:color="836967"/>
              <w:bottom w:val="single" w:sz="4" w:space="0" w:color="836967"/>
              <w:end w:val="single" w:sz="4" w:space="0" w:color="836967"/>
            </w:tcBorders>
            <w:shd w:fill="auto" w:val="clear"/>
          </w:tcPr>
          <w:p>
            <w:pPr>
              <w:pStyle w:val="Normal"/>
              <w:widowControl/>
              <w:spacing w:lineRule="auto" w:line="264" w:before="0" w:after="160"/>
              <w:ind w:hanging="0" w:start="0" w:end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Гкал / м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  <w:vertAlign w:val="superscript"/>
              </w:rPr>
              <w:t>2</w:t>
            </w:r>
          </w:p>
        </w:tc>
        <w:tc>
          <w:tcPr>
            <w:tcW w:w="1525" w:type="dxa"/>
            <w:tcBorders>
              <w:top w:val="single" w:sz="4" w:space="0" w:color="836967"/>
              <w:start w:val="single" w:sz="4" w:space="0" w:color="836967"/>
              <w:bottom w:val="single" w:sz="4" w:space="0" w:color="836967"/>
              <w:end w:val="single" w:sz="4" w:space="0" w:color="836967"/>
            </w:tcBorders>
            <w:tcMar>
              <w:start w:w="10" w:type="dxa"/>
              <w:end w:w="10" w:type="dxa"/>
            </w:tcMar>
          </w:tcPr>
          <w:p>
            <w:pPr>
              <w:pStyle w:val="Normal"/>
              <w:widowControl/>
              <w:spacing w:lineRule="auto" w:line="360" w:before="0" w:after="160"/>
              <w:ind w:hanging="0" w:start="0" w:end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836967"/>
              <w:start w:val="single" w:sz="4" w:space="0" w:color="836967"/>
              <w:bottom w:val="single" w:sz="4" w:space="0" w:color="836967"/>
              <w:end w:val="single" w:sz="4" w:space="0" w:color="836967"/>
            </w:tcBorders>
            <w:tcMar>
              <w:start w:w="10" w:type="dxa"/>
              <w:end w:w="10" w:type="dxa"/>
            </w:tcMar>
          </w:tcPr>
          <w:p>
            <w:pPr>
              <w:pStyle w:val="Normal"/>
              <w:widowControl/>
              <w:spacing w:lineRule="auto" w:line="360" w:before="0" w:after="160"/>
              <w:ind w:hanging="0" w:start="0" w:end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-</w:t>
            </w:r>
          </w:p>
        </w:tc>
        <w:tc>
          <w:tcPr>
            <w:tcW w:w="1523" w:type="dxa"/>
            <w:tcBorders>
              <w:top w:val="single" w:sz="4" w:space="0" w:color="836967"/>
              <w:start w:val="single" w:sz="4" w:space="0" w:color="836967"/>
              <w:bottom w:val="single" w:sz="4" w:space="0" w:color="836967"/>
              <w:end w:val="single" w:sz="4" w:space="0" w:color="836967"/>
            </w:tcBorders>
            <w:tcMar>
              <w:start w:w="10" w:type="dxa"/>
              <w:end w:w="10" w:type="dxa"/>
            </w:tcMar>
          </w:tcPr>
          <w:p>
            <w:pPr>
              <w:pStyle w:val="Normal"/>
              <w:widowControl/>
              <w:spacing w:lineRule="auto" w:line="360" w:before="0" w:after="160"/>
              <w:ind w:hanging="0" w:start="0" w:end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836967"/>
              <w:start w:val="single" w:sz="4" w:space="0" w:color="836967"/>
              <w:bottom w:val="single" w:sz="4" w:space="0" w:color="836967"/>
              <w:end w:val="single" w:sz="4" w:space="0" w:color="836967"/>
            </w:tcBorders>
            <w:tcMar>
              <w:start w:w="10" w:type="dxa"/>
              <w:end w:w="10" w:type="dxa"/>
            </w:tcMar>
          </w:tcPr>
          <w:p>
            <w:pPr>
              <w:pStyle w:val="Normal"/>
              <w:widowControl/>
              <w:spacing w:lineRule="auto" w:line="360" w:before="0" w:after="160"/>
              <w:ind w:hanging="0" w:start="0" w:end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-</w:t>
            </w:r>
          </w:p>
        </w:tc>
      </w:tr>
      <w:tr>
        <w:trPr/>
        <w:tc>
          <w:tcPr>
            <w:tcW w:w="696" w:type="dxa"/>
            <w:tcBorders>
              <w:top w:val="single" w:sz="4" w:space="0" w:color="836967"/>
              <w:start w:val="single" w:sz="4" w:space="0" w:color="836967"/>
              <w:bottom w:val="single" w:sz="4" w:space="0" w:color="836967"/>
              <w:end w:val="single" w:sz="4" w:space="0" w:color="836967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4"/>
                <w:szCs w:val="20"/>
              </w:rPr>
              <w:t>4</w:t>
            </w:r>
          </w:p>
        </w:tc>
        <w:tc>
          <w:tcPr>
            <w:tcW w:w="6108" w:type="dxa"/>
            <w:tcBorders>
              <w:top w:val="single" w:sz="4" w:space="0" w:color="836967"/>
              <w:start w:val="single" w:sz="4" w:space="0" w:color="836967"/>
              <w:bottom w:val="single" w:sz="4" w:space="0" w:color="836967"/>
              <w:end w:val="single" w:sz="4" w:space="0" w:color="836967"/>
            </w:tcBorders>
            <w:shd w:fill="auto" w:val="clear"/>
          </w:tcPr>
          <w:p>
            <w:pPr>
              <w:pStyle w:val="Normal"/>
              <w:widowControl/>
              <w:spacing w:lineRule="auto" w:line="264" w:before="0" w:after="160"/>
              <w:ind w:hanging="0" w:start="0" w:end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Доля энергоэффективных источников света в системах уличного освещения на территории муниципального образования</w:t>
            </w:r>
          </w:p>
        </w:tc>
        <w:tc>
          <w:tcPr>
            <w:tcW w:w="1494" w:type="dxa"/>
            <w:tcBorders>
              <w:top w:val="single" w:sz="4" w:space="0" w:color="836967"/>
              <w:start w:val="single" w:sz="4" w:space="0" w:color="836967"/>
              <w:bottom w:val="single" w:sz="4" w:space="0" w:color="836967"/>
              <w:end w:val="single" w:sz="4" w:space="0" w:color="836967"/>
            </w:tcBorders>
            <w:shd w:fill="auto" w:val="clear"/>
          </w:tcPr>
          <w:p>
            <w:pPr>
              <w:pStyle w:val="Normal"/>
              <w:widowControl/>
              <w:spacing w:lineRule="auto" w:line="264" w:before="0" w:after="160"/>
              <w:ind w:hanging="0" w:start="0" w:end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%</w:t>
            </w:r>
          </w:p>
        </w:tc>
        <w:tc>
          <w:tcPr>
            <w:tcW w:w="1525" w:type="dxa"/>
            <w:tcBorders>
              <w:top w:val="single" w:sz="4" w:space="0" w:color="836967"/>
              <w:start w:val="single" w:sz="4" w:space="0" w:color="836967"/>
              <w:bottom w:val="single" w:sz="4" w:space="0" w:color="836967"/>
              <w:end w:val="single" w:sz="4" w:space="0" w:color="836967"/>
            </w:tcBorders>
            <w:tcMar>
              <w:start w:w="10" w:type="dxa"/>
              <w:end w:w="10" w:type="dxa"/>
            </w:tcMar>
          </w:tcPr>
          <w:p>
            <w:pPr>
              <w:pStyle w:val="Normal"/>
              <w:widowControl/>
              <w:spacing w:lineRule="auto" w:line="264" w:before="0" w:after="160"/>
              <w:ind w:hanging="0" w:start="0" w:end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100</w:t>
            </w:r>
          </w:p>
        </w:tc>
        <w:tc>
          <w:tcPr>
            <w:tcW w:w="1524" w:type="dxa"/>
            <w:tcBorders>
              <w:top w:val="single" w:sz="4" w:space="0" w:color="836967"/>
              <w:start w:val="single" w:sz="4" w:space="0" w:color="836967"/>
              <w:bottom w:val="single" w:sz="4" w:space="0" w:color="836967"/>
              <w:end w:val="single" w:sz="4" w:space="0" w:color="836967"/>
            </w:tcBorders>
            <w:tcMar>
              <w:start w:w="10" w:type="dxa"/>
              <w:end w:w="10" w:type="dxa"/>
            </w:tcMar>
          </w:tcPr>
          <w:p>
            <w:pPr>
              <w:pStyle w:val="Normal"/>
              <w:widowControl/>
              <w:spacing w:lineRule="auto" w:line="264" w:before="0" w:after="160"/>
              <w:ind w:hanging="0" w:start="0" w:end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100</w:t>
            </w:r>
          </w:p>
        </w:tc>
        <w:tc>
          <w:tcPr>
            <w:tcW w:w="1523" w:type="dxa"/>
            <w:tcBorders>
              <w:top w:val="single" w:sz="4" w:space="0" w:color="836967"/>
              <w:start w:val="single" w:sz="4" w:space="0" w:color="836967"/>
              <w:bottom w:val="single" w:sz="4" w:space="0" w:color="836967"/>
              <w:end w:val="single" w:sz="4" w:space="0" w:color="836967"/>
            </w:tcBorders>
            <w:tcMar>
              <w:start w:w="10" w:type="dxa"/>
              <w:end w:w="10" w:type="dxa"/>
            </w:tcMar>
          </w:tcPr>
          <w:p>
            <w:pPr>
              <w:pStyle w:val="Normal"/>
              <w:widowControl/>
              <w:spacing w:lineRule="auto" w:line="264" w:before="0" w:after="160"/>
              <w:ind w:hanging="0" w:start="0" w:end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100</w:t>
            </w:r>
          </w:p>
        </w:tc>
        <w:tc>
          <w:tcPr>
            <w:tcW w:w="1525" w:type="dxa"/>
            <w:tcBorders>
              <w:top w:val="single" w:sz="4" w:space="0" w:color="836967"/>
              <w:start w:val="single" w:sz="4" w:space="0" w:color="836967"/>
              <w:bottom w:val="single" w:sz="4" w:space="0" w:color="836967"/>
              <w:end w:val="single" w:sz="4" w:space="0" w:color="836967"/>
            </w:tcBorders>
            <w:tcMar>
              <w:start w:w="10" w:type="dxa"/>
              <w:end w:w="10" w:type="dxa"/>
            </w:tcMar>
          </w:tcPr>
          <w:p>
            <w:pPr>
              <w:pStyle w:val="Normal"/>
              <w:widowControl/>
              <w:spacing w:lineRule="auto" w:line="264" w:before="0" w:after="160"/>
              <w:ind w:hanging="0" w:start="0" w:end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100</w:t>
            </w:r>
          </w:p>
        </w:tc>
      </w:tr>
    </w:tbl>
    <w:p>
      <w:pPr>
        <w:pStyle w:val="Normal"/>
        <w:jc w:val="end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end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end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2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Перечень основных мероприятий муниципальной программы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</w:p>
    <w:tbl>
      <w:tblPr>
        <w:tblStyle w:val="Style_6"/>
        <w:tblW w:w="14848" w:type="dxa"/>
        <w:jc w:val="start"/>
        <w:tblInd w:w="-291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666"/>
        <w:gridCol w:w="4269"/>
        <w:gridCol w:w="1938"/>
        <w:gridCol w:w="1594"/>
        <w:gridCol w:w="1595"/>
        <w:gridCol w:w="1596"/>
        <w:gridCol w:w="1595"/>
        <w:gridCol w:w="1595"/>
      </w:tblGrid>
      <w:tr>
        <w:trPr>
          <w:trHeight w:val="276" w:hRule="atLeast"/>
        </w:trPr>
        <w:tc>
          <w:tcPr>
            <w:tcW w:w="666" w:type="dxa"/>
            <w:vMerge w:val="restart"/>
            <w:tcBorders>
              <w:top w:val="single" w:sz="4" w:space="0" w:color="836967"/>
              <w:start w:val="single" w:sz="4" w:space="0" w:color="836967"/>
              <w:bottom w:val="single" w:sz="4" w:space="0" w:color="836967"/>
              <w:end w:val="single" w:sz="4" w:space="0" w:color="836967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0"/>
                <w:szCs w:val="20"/>
              </w:rPr>
              <w:t>№</w:t>
            </w:r>
          </w:p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0"/>
                <w:szCs w:val="20"/>
              </w:rPr>
              <w:t>п/п</w:t>
            </w:r>
          </w:p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4269" w:type="dxa"/>
            <w:vMerge w:val="restart"/>
            <w:tcBorders>
              <w:top w:val="single" w:sz="4" w:space="0" w:color="836967"/>
              <w:start w:val="single" w:sz="4" w:space="0" w:color="836967"/>
              <w:bottom w:val="single" w:sz="4" w:space="0" w:color="836967"/>
              <w:end w:val="single" w:sz="4" w:space="0" w:color="836967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0"/>
                <w:szCs w:val="20"/>
              </w:rPr>
              <w:t>Наименование основного мероприятия</w:t>
            </w:r>
          </w:p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938" w:type="dxa"/>
            <w:vMerge w:val="restart"/>
            <w:tcBorders>
              <w:top w:val="single" w:sz="4" w:space="0" w:color="836967"/>
              <w:start w:val="single" w:sz="4" w:space="0" w:color="836967"/>
              <w:bottom w:val="single" w:sz="4" w:space="0" w:color="836967"/>
              <w:end w:val="single" w:sz="4" w:space="0" w:color="836967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0"/>
                <w:szCs w:val="20"/>
              </w:rPr>
              <w:t>Ответственный исполнитель</w:t>
            </w:r>
          </w:p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3189" w:type="dxa"/>
            <w:gridSpan w:val="2"/>
            <w:vMerge w:val="restart"/>
            <w:tcBorders>
              <w:top w:val="single" w:sz="4" w:space="0" w:color="836967"/>
              <w:start w:val="single" w:sz="4" w:space="0" w:color="836967"/>
              <w:bottom w:val="single" w:sz="4" w:space="0" w:color="836967"/>
              <w:end w:val="single" w:sz="4" w:space="0" w:color="836967"/>
            </w:tcBorders>
            <w:tcMar>
              <w:start w:w="10" w:type="dxa"/>
              <w:end w:w="10" w:type="dxa"/>
            </w:tcMar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0"/>
                <w:szCs w:val="20"/>
              </w:rPr>
              <w:t>Срок</w:t>
            </w:r>
          </w:p>
        </w:tc>
        <w:tc>
          <w:tcPr>
            <w:tcW w:w="1596" w:type="dxa"/>
            <w:tcBorders>
              <w:top w:val="single" w:sz="4" w:space="0" w:color="836967"/>
              <w:start w:val="single" w:sz="4" w:space="0" w:color="836967"/>
              <w:end w:val="single" w:sz="4" w:space="0" w:color="836967"/>
            </w:tcBorders>
            <w:tcMar>
              <w:start w:w="10" w:type="dxa"/>
              <w:end w:w="10" w:type="dxa"/>
            </w:tcMar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595" w:type="dxa"/>
            <w:tcBorders>
              <w:top w:val="single" w:sz="4" w:space="0" w:color="836967"/>
              <w:start w:val="single" w:sz="4" w:space="0" w:color="836967"/>
              <w:end w:val="single" w:sz="4" w:space="0" w:color="836967"/>
            </w:tcBorders>
            <w:tcMar>
              <w:start w:w="10" w:type="dxa"/>
              <w:end w:w="10" w:type="dxa"/>
            </w:tcMar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595" w:type="dxa"/>
            <w:tcBorders>
              <w:top w:val="single" w:sz="4" w:space="0" w:color="836967"/>
              <w:start w:val="single" w:sz="4" w:space="0" w:color="836967"/>
              <w:end w:val="single" w:sz="4" w:space="0" w:color="836967"/>
            </w:tcBorders>
            <w:tcMar>
              <w:start w:w="10" w:type="dxa"/>
              <w:end w:w="10" w:type="dxa"/>
            </w:tcMar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4"/>
                <w:szCs w:val="20"/>
              </w:rPr>
            </w:r>
          </w:p>
        </w:tc>
      </w:tr>
      <w:tr>
        <w:trPr>
          <w:trHeight w:val="207" w:hRule="atLeast"/>
        </w:trPr>
        <w:tc>
          <w:tcPr>
            <w:tcW w:w="666" w:type="dxa"/>
            <w:vMerge w:val="continue"/>
            <w:tcBorders>
              <w:top w:val="single" w:sz="4" w:space="0" w:color="836967"/>
              <w:start w:val="single" w:sz="4" w:space="0" w:color="836967"/>
              <w:bottom w:val="single" w:sz="4" w:space="0" w:color="836967"/>
              <w:end w:val="single" w:sz="4" w:space="0" w:color="836967"/>
            </w:tcBorders>
            <w:shd w:fill="auto" w:val="clear"/>
          </w:tcPr>
          <w:p>
            <w:pPr>
              <w:pStyle w:val="Normal"/>
              <w:widowControl/>
              <w:spacing w:lineRule="auto" w:line="264" w:before="0" w:after="160"/>
              <w:ind w:hanging="0" w:start="0" w:end="0"/>
              <w:jc w:val="start"/>
              <w:rPr>
                <w:rFonts w:ascii="Calibri" w:hAnsi="Calibri"/>
                <w:color w:val="000000"/>
                <w:spacing w:val="0"/>
                <w:kern w:val="0"/>
                <w:sz w:val="22"/>
                <w:szCs w:val="20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  <w:tc>
          <w:tcPr>
            <w:tcW w:w="4269" w:type="dxa"/>
            <w:vMerge w:val="continue"/>
            <w:tcBorders>
              <w:top w:val="single" w:sz="4" w:space="0" w:color="836967"/>
              <w:start w:val="single" w:sz="4" w:space="0" w:color="836967"/>
              <w:bottom w:val="single" w:sz="4" w:space="0" w:color="836967"/>
              <w:end w:val="single" w:sz="4" w:space="0" w:color="836967"/>
            </w:tcBorders>
            <w:shd w:fill="auto" w:val="clear"/>
          </w:tcPr>
          <w:p>
            <w:pPr>
              <w:pStyle w:val="Normal"/>
              <w:widowControl/>
              <w:spacing w:lineRule="auto" w:line="264" w:before="0" w:after="160"/>
              <w:ind w:hanging="0" w:start="0" w:end="0"/>
              <w:jc w:val="start"/>
              <w:rPr>
                <w:rFonts w:ascii="Calibri" w:hAnsi="Calibri"/>
                <w:color w:val="000000"/>
                <w:spacing w:val="0"/>
                <w:kern w:val="0"/>
                <w:sz w:val="22"/>
                <w:szCs w:val="20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  <w:tc>
          <w:tcPr>
            <w:tcW w:w="1938" w:type="dxa"/>
            <w:vMerge w:val="continue"/>
            <w:tcBorders>
              <w:top w:val="single" w:sz="4" w:space="0" w:color="836967"/>
              <w:start w:val="single" w:sz="4" w:space="0" w:color="836967"/>
              <w:bottom w:val="single" w:sz="4" w:space="0" w:color="836967"/>
              <w:end w:val="single" w:sz="4" w:space="0" w:color="836967"/>
            </w:tcBorders>
            <w:shd w:fill="auto" w:val="clear"/>
          </w:tcPr>
          <w:p>
            <w:pPr>
              <w:pStyle w:val="Normal"/>
              <w:widowControl/>
              <w:spacing w:lineRule="auto" w:line="264" w:before="0" w:after="160"/>
              <w:ind w:hanging="0" w:start="0" w:end="0"/>
              <w:jc w:val="start"/>
              <w:rPr>
                <w:rFonts w:ascii="Calibri" w:hAnsi="Calibri"/>
                <w:color w:val="000000"/>
                <w:spacing w:val="0"/>
                <w:kern w:val="0"/>
                <w:sz w:val="22"/>
                <w:szCs w:val="20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  <w:tc>
          <w:tcPr>
            <w:tcW w:w="3189" w:type="dxa"/>
            <w:gridSpan w:val="2"/>
            <w:vMerge w:val="continue"/>
            <w:tcBorders>
              <w:top w:val="single" w:sz="4" w:space="0" w:color="836967"/>
              <w:start w:val="single" w:sz="4" w:space="0" w:color="836967"/>
              <w:bottom w:val="single" w:sz="4" w:space="0" w:color="836967"/>
              <w:end w:val="single" w:sz="4" w:space="0" w:color="836967"/>
            </w:tcBorders>
            <w:tcMar>
              <w:start w:w="10" w:type="dxa"/>
              <w:end w:w="10" w:type="dxa"/>
            </w:tcMar>
          </w:tcPr>
          <w:p>
            <w:pPr>
              <w:pStyle w:val="Normal"/>
              <w:widowControl/>
              <w:spacing w:lineRule="auto" w:line="264" w:before="0" w:after="160"/>
              <w:ind w:hanging="0" w:start="0" w:end="0"/>
              <w:jc w:val="start"/>
              <w:rPr>
                <w:rFonts w:ascii="Calibri" w:hAnsi="Calibri"/>
                <w:color w:val="000000"/>
                <w:spacing w:val="0"/>
                <w:kern w:val="0"/>
                <w:sz w:val="22"/>
                <w:szCs w:val="20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  <w:tc>
          <w:tcPr>
            <w:tcW w:w="1596" w:type="dxa"/>
            <w:vMerge w:val="restart"/>
            <w:tcBorders>
              <w:start w:val="single" w:sz="4" w:space="0" w:color="836967"/>
              <w:bottom w:val="single" w:sz="4" w:space="0" w:color="836967"/>
              <w:end w:val="single" w:sz="4" w:space="0" w:color="836967"/>
            </w:tcBorders>
            <w:tcMar>
              <w:start w:w="10" w:type="dxa"/>
              <w:end w:w="10" w:type="dxa"/>
            </w:tcMar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18"/>
                <w:szCs w:val="20"/>
              </w:rPr>
              <w:t>Ожидаемый непосредственный результат (краткое описание)</w:t>
            </w:r>
          </w:p>
        </w:tc>
        <w:tc>
          <w:tcPr>
            <w:tcW w:w="1595" w:type="dxa"/>
            <w:vMerge w:val="restart"/>
            <w:tcBorders>
              <w:start w:val="single" w:sz="4" w:space="0" w:color="836967"/>
              <w:bottom w:val="single" w:sz="4" w:space="0" w:color="836967"/>
              <w:end w:val="single" w:sz="4" w:space="0" w:color="836967"/>
            </w:tcBorders>
            <w:tcMar>
              <w:start w:w="10" w:type="dxa"/>
              <w:end w:w="10" w:type="dxa"/>
            </w:tcMar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18"/>
                <w:szCs w:val="20"/>
              </w:rPr>
              <w:t>Последствия нереализации основного мероприятия</w:t>
            </w:r>
          </w:p>
        </w:tc>
        <w:tc>
          <w:tcPr>
            <w:tcW w:w="1595" w:type="dxa"/>
            <w:vMerge w:val="restart"/>
            <w:tcBorders>
              <w:start w:val="single" w:sz="4" w:space="0" w:color="836967"/>
              <w:bottom w:val="single" w:sz="4" w:space="0" w:color="836967"/>
              <w:end w:val="single" w:sz="4" w:space="0" w:color="836967"/>
            </w:tcBorders>
            <w:tcMar>
              <w:start w:w="10" w:type="dxa"/>
              <w:end w:w="10" w:type="dxa"/>
            </w:tcMar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18"/>
                <w:szCs w:val="20"/>
              </w:rPr>
              <w:t>Связь с показателями муниципальной программы</w:t>
            </w:r>
          </w:p>
        </w:tc>
      </w:tr>
      <w:tr>
        <w:trPr/>
        <w:tc>
          <w:tcPr>
            <w:tcW w:w="666" w:type="dxa"/>
            <w:vMerge w:val="continue"/>
            <w:tcBorders>
              <w:top w:val="single" w:sz="4" w:space="0" w:color="836967"/>
              <w:start w:val="single" w:sz="4" w:space="0" w:color="836967"/>
              <w:bottom w:val="single" w:sz="4" w:space="0" w:color="836967"/>
              <w:end w:val="single" w:sz="4" w:space="0" w:color="836967"/>
            </w:tcBorders>
            <w:shd w:fill="auto" w:val="clear"/>
          </w:tcPr>
          <w:p>
            <w:pPr>
              <w:pStyle w:val="Normal"/>
              <w:widowControl/>
              <w:spacing w:lineRule="auto" w:line="264" w:before="0" w:after="160"/>
              <w:ind w:hanging="0" w:start="0" w:end="0"/>
              <w:jc w:val="start"/>
              <w:rPr>
                <w:rFonts w:ascii="Calibri" w:hAnsi="Calibri"/>
                <w:color w:val="000000"/>
                <w:spacing w:val="0"/>
                <w:kern w:val="0"/>
                <w:sz w:val="22"/>
                <w:szCs w:val="20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  <w:tc>
          <w:tcPr>
            <w:tcW w:w="4269" w:type="dxa"/>
            <w:vMerge w:val="continue"/>
            <w:tcBorders>
              <w:top w:val="single" w:sz="4" w:space="0" w:color="836967"/>
              <w:start w:val="single" w:sz="4" w:space="0" w:color="836967"/>
              <w:bottom w:val="single" w:sz="4" w:space="0" w:color="836967"/>
              <w:end w:val="single" w:sz="4" w:space="0" w:color="836967"/>
            </w:tcBorders>
            <w:shd w:fill="auto" w:val="clear"/>
          </w:tcPr>
          <w:p>
            <w:pPr>
              <w:pStyle w:val="Normal"/>
              <w:widowControl/>
              <w:spacing w:lineRule="auto" w:line="264" w:before="0" w:after="160"/>
              <w:ind w:hanging="0" w:start="0" w:end="0"/>
              <w:jc w:val="start"/>
              <w:rPr>
                <w:rFonts w:ascii="Calibri" w:hAnsi="Calibri"/>
                <w:color w:val="000000"/>
                <w:spacing w:val="0"/>
                <w:kern w:val="0"/>
                <w:sz w:val="22"/>
                <w:szCs w:val="20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  <w:tc>
          <w:tcPr>
            <w:tcW w:w="1938" w:type="dxa"/>
            <w:vMerge w:val="continue"/>
            <w:tcBorders>
              <w:top w:val="single" w:sz="4" w:space="0" w:color="836967"/>
              <w:start w:val="single" w:sz="4" w:space="0" w:color="836967"/>
              <w:bottom w:val="single" w:sz="4" w:space="0" w:color="836967"/>
              <w:end w:val="single" w:sz="4" w:space="0" w:color="836967"/>
            </w:tcBorders>
            <w:shd w:fill="auto" w:val="clear"/>
          </w:tcPr>
          <w:p>
            <w:pPr>
              <w:pStyle w:val="Normal"/>
              <w:widowControl/>
              <w:spacing w:lineRule="auto" w:line="264" w:before="0" w:after="160"/>
              <w:ind w:hanging="0" w:start="0" w:end="0"/>
              <w:jc w:val="start"/>
              <w:rPr>
                <w:rFonts w:ascii="Calibri" w:hAnsi="Calibri"/>
                <w:color w:val="000000"/>
                <w:spacing w:val="0"/>
                <w:kern w:val="0"/>
                <w:sz w:val="22"/>
                <w:szCs w:val="20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  <w:tc>
          <w:tcPr>
            <w:tcW w:w="1594" w:type="dxa"/>
            <w:tcBorders>
              <w:top w:val="single" w:sz="4" w:space="0" w:color="836967"/>
              <w:start w:val="single" w:sz="4" w:space="0" w:color="836967"/>
              <w:bottom w:val="single" w:sz="4" w:space="0" w:color="836967"/>
              <w:end w:val="single" w:sz="4" w:space="0" w:color="836967"/>
            </w:tcBorders>
            <w:tcMar>
              <w:start w:w="10" w:type="dxa"/>
              <w:end w:w="10" w:type="dxa"/>
            </w:tcMar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18"/>
                <w:szCs w:val="20"/>
              </w:rPr>
              <w:t>начала реализации</w:t>
            </w:r>
          </w:p>
        </w:tc>
        <w:tc>
          <w:tcPr>
            <w:tcW w:w="1595" w:type="dxa"/>
            <w:tcBorders>
              <w:top w:val="single" w:sz="4" w:space="0" w:color="836967"/>
              <w:start w:val="single" w:sz="4" w:space="0" w:color="836967"/>
              <w:bottom w:val="single" w:sz="4" w:space="0" w:color="836967"/>
              <w:end w:val="single" w:sz="4" w:space="0" w:color="836967"/>
            </w:tcBorders>
            <w:tcMar>
              <w:start w:w="10" w:type="dxa"/>
              <w:end w:w="10" w:type="dxa"/>
            </w:tcMar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18"/>
                <w:szCs w:val="20"/>
              </w:rPr>
              <w:t>окончания реализации</w:t>
            </w:r>
          </w:p>
        </w:tc>
        <w:tc>
          <w:tcPr>
            <w:tcW w:w="1596" w:type="dxa"/>
            <w:vMerge w:val="continue"/>
            <w:tcBorders>
              <w:start w:val="single" w:sz="4" w:space="0" w:color="836967"/>
              <w:bottom w:val="single" w:sz="4" w:space="0" w:color="836967"/>
              <w:end w:val="single" w:sz="4" w:space="0" w:color="836967"/>
            </w:tcBorders>
            <w:tcMar>
              <w:start w:w="10" w:type="dxa"/>
              <w:end w:w="10" w:type="dxa"/>
            </w:tcMar>
          </w:tcPr>
          <w:p>
            <w:pPr>
              <w:pStyle w:val="Normal"/>
              <w:widowControl/>
              <w:spacing w:lineRule="auto" w:line="264" w:before="0" w:after="160"/>
              <w:ind w:hanging="0" w:start="0" w:end="0"/>
              <w:jc w:val="start"/>
              <w:rPr>
                <w:rFonts w:ascii="Calibri" w:hAnsi="Calibri"/>
                <w:color w:val="000000"/>
                <w:spacing w:val="0"/>
                <w:kern w:val="0"/>
                <w:sz w:val="22"/>
                <w:szCs w:val="20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  <w:tc>
          <w:tcPr>
            <w:tcW w:w="1595" w:type="dxa"/>
            <w:vMerge w:val="continue"/>
            <w:tcBorders>
              <w:start w:val="single" w:sz="4" w:space="0" w:color="836967"/>
              <w:bottom w:val="single" w:sz="4" w:space="0" w:color="836967"/>
              <w:end w:val="single" w:sz="4" w:space="0" w:color="836967"/>
            </w:tcBorders>
            <w:tcMar>
              <w:start w:w="10" w:type="dxa"/>
              <w:end w:w="10" w:type="dxa"/>
            </w:tcMar>
          </w:tcPr>
          <w:p>
            <w:pPr>
              <w:pStyle w:val="Normal"/>
              <w:widowControl/>
              <w:spacing w:lineRule="auto" w:line="264" w:before="0" w:after="160"/>
              <w:ind w:hanging="0" w:start="0" w:end="0"/>
              <w:jc w:val="start"/>
              <w:rPr>
                <w:rFonts w:ascii="Calibri" w:hAnsi="Calibri"/>
                <w:color w:val="000000"/>
                <w:spacing w:val="0"/>
                <w:kern w:val="0"/>
                <w:sz w:val="22"/>
                <w:szCs w:val="20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  <w:tc>
          <w:tcPr>
            <w:tcW w:w="1595" w:type="dxa"/>
            <w:vMerge w:val="continue"/>
            <w:tcBorders>
              <w:start w:val="single" w:sz="4" w:space="0" w:color="836967"/>
              <w:bottom w:val="single" w:sz="4" w:space="0" w:color="836967"/>
              <w:end w:val="single" w:sz="4" w:space="0" w:color="836967"/>
            </w:tcBorders>
            <w:tcMar>
              <w:start w:w="10" w:type="dxa"/>
              <w:end w:w="10" w:type="dxa"/>
            </w:tcMar>
          </w:tcPr>
          <w:p>
            <w:pPr>
              <w:pStyle w:val="Normal"/>
              <w:widowControl/>
              <w:spacing w:lineRule="auto" w:line="264" w:before="0" w:after="160"/>
              <w:ind w:hanging="0" w:start="0" w:end="0"/>
              <w:jc w:val="start"/>
              <w:rPr>
                <w:rFonts w:ascii="Calibri" w:hAnsi="Calibri"/>
                <w:color w:val="000000"/>
                <w:spacing w:val="0"/>
                <w:kern w:val="0"/>
                <w:sz w:val="22"/>
                <w:szCs w:val="20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</w:tr>
      <w:tr>
        <w:trPr/>
        <w:tc>
          <w:tcPr>
            <w:tcW w:w="666" w:type="dxa"/>
            <w:tcBorders>
              <w:top w:val="single" w:sz="4" w:space="0" w:color="836967"/>
              <w:start w:val="single" w:sz="4" w:space="0" w:color="836967"/>
              <w:bottom w:val="single" w:sz="4" w:space="0" w:color="836967"/>
              <w:end w:val="single" w:sz="4" w:space="0" w:color="836967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18"/>
                <w:szCs w:val="20"/>
              </w:rPr>
              <w:t>1</w:t>
            </w:r>
          </w:p>
        </w:tc>
        <w:tc>
          <w:tcPr>
            <w:tcW w:w="4269" w:type="dxa"/>
            <w:tcBorders>
              <w:top w:val="single" w:sz="4" w:space="0" w:color="836967"/>
              <w:start w:val="single" w:sz="4" w:space="0" w:color="836967"/>
              <w:bottom w:val="single" w:sz="4" w:space="0" w:color="836967"/>
              <w:end w:val="single" w:sz="4" w:space="0" w:color="836967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0"/>
                <w:szCs w:val="20"/>
              </w:rPr>
              <w:t>2</w:t>
            </w:r>
          </w:p>
        </w:tc>
        <w:tc>
          <w:tcPr>
            <w:tcW w:w="1938" w:type="dxa"/>
            <w:tcBorders>
              <w:top w:val="single" w:sz="4" w:space="0" w:color="836967"/>
              <w:start w:val="single" w:sz="4" w:space="0" w:color="836967"/>
              <w:bottom w:val="single" w:sz="4" w:space="0" w:color="836967"/>
              <w:end w:val="single" w:sz="4" w:space="0" w:color="836967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0"/>
                <w:szCs w:val="20"/>
              </w:rPr>
              <w:t>3</w:t>
            </w:r>
          </w:p>
        </w:tc>
        <w:tc>
          <w:tcPr>
            <w:tcW w:w="1594" w:type="dxa"/>
            <w:tcBorders>
              <w:top w:val="single" w:sz="4" w:space="0" w:color="836967"/>
              <w:start w:val="single" w:sz="4" w:space="0" w:color="836967"/>
              <w:bottom w:val="single" w:sz="4" w:space="0" w:color="836967"/>
              <w:end w:val="single" w:sz="4" w:space="0" w:color="836967"/>
            </w:tcBorders>
            <w:tcMar>
              <w:start w:w="10" w:type="dxa"/>
              <w:end w:w="10" w:type="dxa"/>
            </w:tcMar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0"/>
                <w:szCs w:val="20"/>
              </w:rPr>
              <w:t>4</w:t>
            </w:r>
          </w:p>
        </w:tc>
        <w:tc>
          <w:tcPr>
            <w:tcW w:w="1595" w:type="dxa"/>
            <w:tcBorders>
              <w:top w:val="single" w:sz="4" w:space="0" w:color="836967"/>
              <w:start w:val="single" w:sz="4" w:space="0" w:color="836967"/>
              <w:bottom w:val="single" w:sz="4" w:space="0" w:color="836967"/>
              <w:end w:val="single" w:sz="4" w:space="0" w:color="836967"/>
            </w:tcBorders>
            <w:tcMar>
              <w:start w:w="10" w:type="dxa"/>
              <w:end w:w="10" w:type="dxa"/>
            </w:tcMar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0"/>
                <w:szCs w:val="20"/>
              </w:rPr>
              <w:t>5</w:t>
            </w:r>
          </w:p>
        </w:tc>
        <w:tc>
          <w:tcPr>
            <w:tcW w:w="1596" w:type="dxa"/>
            <w:tcBorders>
              <w:top w:val="single" w:sz="4" w:space="0" w:color="836967"/>
              <w:start w:val="single" w:sz="4" w:space="0" w:color="836967"/>
              <w:bottom w:val="single" w:sz="4" w:space="0" w:color="836967"/>
              <w:end w:val="single" w:sz="4" w:space="0" w:color="836967"/>
            </w:tcBorders>
            <w:tcMar>
              <w:start w:w="10" w:type="dxa"/>
              <w:end w:w="10" w:type="dxa"/>
            </w:tcMar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0"/>
                <w:szCs w:val="20"/>
              </w:rPr>
              <w:t>6</w:t>
            </w:r>
          </w:p>
        </w:tc>
        <w:tc>
          <w:tcPr>
            <w:tcW w:w="1595" w:type="dxa"/>
            <w:tcBorders>
              <w:top w:val="single" w:sz="4" w:space="0" w:color="836967"/>
              <w:start w:val="single" w:sz="4" w:space="0" w:color="836967"/>
              <w:bottom w:val="single" w:sz="4" w:space="0" w:color="836967"/>
              <w:end w:val="single" w:sz="4" w:space="0" w:color="836967"/>
            </w:tcBorders>
            <w:tcMar>
              <w:start w:w="10" w:type="dxa"/>
              <w:end w:w="10" w:type="dxa"/>
            </w:tcMar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0"/>
                <w:szCs w:val="20"/>
              </w:rPr>
              <w:t>7</w:t>
            </w:r>
          </w:p>
        </w:tc>
        <w:tc>
          <w:tcPr>
            <w:tcW w:w="1595" w:type="dxa"/>
            <w:tcBorders>
              <w:top w:val="single" w:sz="4" w:space="0" w:color="836967"/>
              <w:start w:val="single" w:sz="4" w:space="0" w:color="836967"/>
              <w:bottom w:val="single" w:sz="4" w:space="0" w:color="836967"/>
              <w:end w:val="single" w:sz="4" w:space="0" w:color="836967"/>
            </w:tcBorders>
            <w:tcMar>
              <w:start w:w="10" w:type="dxa"/>
              <w:end w:w="10" w:type="dxa"/>
            </w:tcMar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0"/>
                <w:szCs w:val="20"/>
              </w:rPr>
              <w:t>8</w:t>
            </w:r>
          </w:p>
        </w:tc>
      </w:tr>
      <w:tr>
        <w:trPr/>
        <w:tc>
          <w:tcPr>
            <w:tcW w:w="666" w:type="dxa"/>
            <w:tcBorders>
              <w:top w:val="single" w:sz="4" w:space="0" w:color="836967"/>
              <w:start w:val="single" w:sz="4" w:space="0" w:color="836967"/>
              <w:bottom w:val="single" w:sz="4" w:space="0" w:color="836967"/>
              <w:end w:val="single" w:sz="4" w:space="0" w:color="836967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4269" w:type="dxa"/>
            <w:tcBorders>
              <w:top w:val="single" w:sz="4" w:space="0" w:color="836967"/>
              <w:start w:val="single" w:sz="4" w:space="0" w:color="836967"/>
              <w:bottom w:val="single" w:sz="4" w:space="0" w:color="836967"/>
              <w:end w:val="single" w:sz="4" w:space="0" w:color="836967"/>
            </w:tcBorders>
            <w:shd w:fill="auto" w:val="clear"/>
          </w:tcPr>
          <w:p>
            <w:pPr>
              <w:pStyle w:val="Normal"/>
              <w:widowControl/>
              <w:spacing w:lineRule="auto" w:line="264" w:before="0" w:after="160"/>
              <w:ind w:hanging="0" w:start="0" w:end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Установка высокоэффективных светодиодных светильников уличного освещения</w:t>
            </w:r>
          </w:p>
        </w:tc>
        <w:tc>
          <w:tcPr>
            <w:tcW w:w="1938" w:type="dxa"/>
            <w:tcBorders>
              <w:top w:val="single" w:sz="4" w:space="0" w:color="836967"/>
              <w:start w:val="single" w:sz="4" w:space="0" w:color="836967"/>
              <w:bottom w:val="single" w:sz="4" w:space="0" w:color="836967"/>
              <w:end w:val="single" w:sz="4" w:space="0" w:color="836967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1594" w:type="dxa"/>
            <w:tcBorders>
              <w:top w:val="single" w:sz="4" w:space="0" w:color="836967"/>
              <w:start w:val="single" w:sz="4" w:space="0" w:color="836967"/>
              <w:bottom w:val="single" w:sz="4" w:space="0" w:color="836967"/>
              <w:end w:val="single" w:sz="4" w:space="0" w:color="836967"/>
            </w:tcBorders>
            <w:tcMar>
              <w:start w:w="10" w:type="dxa"/>
              <w:end w:w="10" w:type="dxa"/>
            </w:tcMar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0"/>
                <w:szCs w:val="20"/>
              </w:rPr>
              <w:t>01.01.202</w:t>
            </w: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0"/>
                <w:szCs w:val="20"/>
              </w:rPr>
              <w:t>6</w:t>
            </w:r>
          </w:p>
        </w:tc>
        <w:tc>
          <w:tcPr>
            <w:tcW w:w="1595" w:type="dxa"/>
            <w:tcBorders>
              <w:top w:val="single" w:sz="4" w:space="0" w:color="836967"/>
              <w:start w:val="single" w:sz="4" w:space="0" w:color="836967"/>
              <w:bottom w:val="single" w:sz="4" w:space="0" w:color="836967"/>
              <w:end w:val="single" w:sz="4" w:space="0" w:color="836967"/>
            </w:tcBorders>
            <w:tcMar>
              <w:start w:w="10" w:type="dxa"/>
              <w:end w:w="10" w:type="dxa"/>
            </w:tcMar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0"/>
                <w:szCs w:val="20"/>
              </w:rPr>
              <w:t>31.12.202</w:t>
            </w: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0"/>
                <w:szCs w:val="20"/>
              </w:rPr>
              <w:t>8</w:t>
            </w:r>
          </w:p>
        </w:tc>
        <w:tc>
          <w:tcPr>
            <w:tcW w:w="1596" w:type="dxa"/>
            <w:tcBorders>
              <w:top w:val="single" w:sz="4" w:space="0" w:color="836967"/>
              <w:start w:val="single" w:sz="4" w:space="0" w:color="836967"/>
              <w:bottom w:val="single" w:sz="4" w:space="0" w:color="836967"/>
              <w:end w:val="single" w:sz="4" w:space="0" w:color="836967"/>
            </w:tcBorders>
            <w:tcMar>
              <w:start w:w="10" w:type="dxa"/>
              <w:end w:w="10" w:type="dxa"/>
            </w:tcMar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0"/>
                <w:szCs w:val="20"/>
              </w:rPr>
              <w:t>снижение удельного расхода электрической энергии в системе уличного освещения</w:t>
            </w:r>
          </w:p>
        </w:tc>
        <w:tc>
          <w:tcPr>
            <w:tcW w:w="1595" w:type="dxa"/>
            <w:tcBorders>
              <w:top w:val="single" w:sz="4" w:space="0" w:color="836967"/>
              <w:start w:val="single" w:sz="4" w:space="0" w:color="836967"/>
              <w:bottom w:val="single" w:sz="4" w:space="0" w:color="836967"/>
              <w:end w:val="single" w:sz="4" w:space="0" w:color="836967"/>
            </w:tcBorders>
            <w:tcMar>
              <w:start w:w="10" w:type="dxa"/>
              <w:end w:w="10" w:type="dxa"/>
            </w:tcMar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0"/>
                <w:szCs w:val="20"/>
              </w:rPr>
              <w:t>неэффективное использование электрической энергии в системе уличного освещения, не выполнение СНИП 23-05-2010 (СП 323.1325800.2017)</w:t>
            </w:r>
          </w:p>
        </w:tc>
        <w:tc>
          <w:tcPr>
            <w:tcW w:w="1595" w:type="dxa"/>
            <w:tcBorders>
              <w:top w:val="single" w:sz="4" w:space="0" w:color="836967"/>
              <w:start w:val="single" w:sz="4" w:space="0" w:color="836967"/>
              <w:bottom w:val="single" w:sz="4" w:space="0" w:color="836967"/>
              <w:end w:val="single" w:sz="4" w:space="0" w:color="836967"/>
            </w:tcBorders>
            <w:tcMar>
              <w:start w:w="10" w:type="dxa"/>
              <w:end w:w="10" w:type="dxa"/>
            </w:tcMar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0"/>
                <w:szCs w:val="20"/>
              </w:rPr>
              <w:t>2</w:t>
            </w:r>
          </w:p>
        </w:tc>
      </w:tr>
      <w:tr>
        <w:trPr/>
        <w:tc>
          <w:tcPr>
            <w:tcW w:w="666" w:type="dxa"/>
            <w:tcBorders>
              <w:top w:val="single" w:sz="4" w:space="0" w:color="836967"/>
              <w:start w:val="single" w:sz="4" w:space="0" w:color="836967"/>
              <w:bottom w:val="single" w:sz="4" w:space="0" w:color="836967"/>
              <w:end w:val="single" w:sz="4" w:space="0" w:color="836967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0"/>
                <w:szCs w:val="20"/>
              </w:rPr>
              <w:t>3</w:t>
            </w:r>
          </w:p>
        </w:tc>
        <w:tc>
          <w:tcPr>
            <w:tcW w:w="4269" w:type="dxa"/>
            <w:tcBorders>
              <w:top w:val="single" w:sz="4" w:space="0" w:color="836967"/>
              <w:start w:val="single" w:sz="4" w:space="0" w:color="836967"/>
              <w:bottom w:val="single" w:sz="4" w:space="0" w:color="836967"/>
              <w:end w:val="single" w:sz="4" w:space="0" w:color="836967"/>
            </w:tcBorders>
            <w:shd w:fill="auto" w:val="clear"/>
          </w:tcPr>
          <w:p>
            <w:pPr>
              <w:pStyle w:val="Normal"/>
              <w:widowControl/>
              <w:spacing w:lineRule="auto" w:line="264" w:before="0" w:after="160"/>
              <w:ind w:hanging="0" w:start="0" w:end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Обучение по подготовке и повышению квалификации специалиста в области энергосбережения</w:t>
            </w:r>
          </w:p>
        </w:tc>
        <w:tc>
          <w:tcPr>
            <w:tcW w:w="1938" w:type="dxa"/>
            <w:tcBorders>
              <w:top w:val="single" w:sz="4" w:space="0" w:color="836967"/>
              <w:start w:val="single" w:sz="4" w:space="0" w:color="836967"/>
              <w:bottom w:val="single" w:sz="4" w:space="0" w:color="836967"/>
              <w:end w:val="single" w:sz="4" w:space="0" w:color="836967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1594" w:type="dxa"/>
            <w:tcBorders>
              <w:top w:val="single" w:sz="4" w:space="0" w:color="836967"/>
              <w:start w:val="single" w:sz="4" w:space="0" w:color="836967"/>
              <w:bottom w:val="single" w:sz="4" w:space="0" w:color="836967"/>
              <w:end w:val="single" w:sz="4" w:space="0" w:color="836967"/>
            </w:tcBorders>
            <w:tcMar>
              <w:start w:w="10" w:type="dxa"/>
              <w:end w:w="10" w:type="dxa"/>
            </w:tcMar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0"/>
                <w:szCs w:val="20"/>
              </w:rPr>
              <w:t>01.01.202</w:t>
            </w: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0"/>
                <w:szCs w:val="20"/>
              </w:rPr>
              <w:t>6</w:t>
            </w:r>
          </w:p>
        </w:tc>
        <w:tc>
          <w:tcPr>
            <w:tcW w:w="1595" w:type="dxa"/>
            <w:tcBorders>
              <w:top w:val="single" w:sz="4" w:space="0" w:color="836967"/>
              <w:start w:val="single" w:sz="4" w:space="0" w:color="836967"/>
              <w:bottom w:val="single" w:sz="4" w:space="0" w:color="836967"/>
              <w:end w:val="single" w:sz="4" w:space="0" w:color="836967"/>
            </w:tcBorders>
            <w:tcMar>
              <w:start w:w="10" w:type="dxa"/>
              <w:end w:w="10" w:type="dxa"/>
            </w:tcMar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0"/>
                <w:szCs w:val="20"/>
              </w:rPr>
              <w:t>31.12.202</w:t>
            </w: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0"/>
                <w:szCs w:val="20"/>
              </w:rPr>
              <w:t>8</w:t>
            </w:r>
          </w:p>
        </w:tc>
        <w:tc>
          <w:tcPr>
            <w:tcW w:w="1596" w:type="dxa"/>
            <w:tcBorders>
              <w:top w:val="single" w:sz="4" w:space="0" w:color="836967"/>
              <w:start w:val="single" w:sz="4" w:space="0" w:color="836967"/>
              <w:bottom w:val="single" w:sz="4" w:space="0" w:color="836967"/>
              <w:end w:val="single" w:sz="4" w:space="0" w:color="836967"/>
            </w:tcBorders>
            <w:tcMar>
              <w:start w:w="10" w:type="dxa"/>
              <w:end w:w="10" w:type="dxa"/>
            </w:tcMar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595" w:type="dxa"/>
            <w:tcBorders>
              <w:top w:val="single" w:sz="4" w:space="0" w:color="836967"/>
              <w:start w:val="single" w:sz="4" w:space="0" w:color="836967"/>
              <w:bottom w:val="single" w:sz="4" w:space="0" w:color="836967"/>
              <w:end w:val="single" w:sz="4" w:space="0" w:color="836967"/>
            </w:tcBorders>
            <w:tcMar>
              <w:start w:w="10" w:type="dxa"/>
              <w:end w:w="10" w:type="dxa"/>
            </w:tcMar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595" w:type="dxa"/>
            <w:tcBorders>
              <w:top w:val="single" w:sz="4" w:space="0" w:color="836967"/>
              <w:start w:val="single" w:sz="4" w:space="0" w:color="836967"/>
              <w:bottom w:val="single" w:sz="4" w:space="0" w:color="836967"/>
              <w:end w:val="single" w:sz="4" w:space="0" w:color="836967"/>
            </w:tcBorders>
            <w:tcMar>
              <w:start w:w="10" w:type="dxa"/>
              <w:end w:w="10" w:type="dxa"/>
            </w:tcMar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0"/>
                <w:szCs w:val="20"/>
              </w:rPr>
            </w:r>
          </w:p>
        </w:tc>
      </w:tr>
    </w:tbl>
    <w:p>
      <w:pPr>
        <w:pStyle w:val="Normal"/>
        <w:jc w:val="end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hanging="0" w:start="8505" w:end="-112"/>
        <w:jc w:val="end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hanging="0" w:start="8505" w:end="-112"/>
        <w:jc w:val="end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hanging="0" w:start="8505" w:end="-112"/>
        <w:jc w:val="end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hanging="0" w:start="8505" w:end="-112"/>
        <w:jc w:val="end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hanging="0" w:start="8505" w:end="-112"/>
        <w:jc w:val="end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hanging="0" w:start="8505" w:end="-112"/>
        <w:jc w:val="end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hanging="0" w:start="8505" w:end="-112"/>
        <w:jc w:val="end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hanging="0" w:start="8505" w:end="-112"/>
        <w:jc w:val="end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3</w:t>
      </w:r>
    </w:p>
    <w:p>
      <w:pPr>
        <w:pStyle w:val="Normal"/>
        <w:spacing w:lineRule="auto" w:line="240" w:before="0" w:after="0"/>
        <w:ind w:hanging="0" w:start="8505" w:end="-112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Сведения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об основных мерах правового регулирования в сфере реализации муниципальной программы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tbl>
      <w:tblPr>
        <w:tblStyle w:val="Style_6"/>
        <w:tblW w:w="13568" w:type="dxa"/>
        <w:jc w:val="start"/>
        <w:tblInd w:w="846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34"/>
        <w:gridCol w:w="2984"/>
        <w:gridCol w:w="3252"/>
        <w:gridCol w:w="3813"/>
        <w:gridCol w:w="2985"/>
      </w:tblGrid>
      <w:tr>
        <w:trPr/>
        <w:tc>
          <w:tcPr>
            <w:tcW w:w="5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4"/>
                <w:szCs w:val="20"/>
              </w:rPr>
              <w:t>№</w:t>
            </w:r>
          </w:p>
        </w:tc>
        <w:tc>
          <w:tcPr>
            <w:tcW w:w="2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4"/>
                <w:szCs w:val="20"/>
              </w:rPr>
              <w:t>Вид нормативного акта</w:t>
            </w:r>
          </w:p>
        </w:tc>
        <w:tc>
          <w:tcPr>
            <w:tcW w:w="32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4"/>
                <w:szCs w:val="20"/>
              </w:rPr>
              <w:t>Основные положения нормативного правового акта</w:t>
            </w:r>
          </w:p>
        </w:tc>
        <w:tc>
          <w:tcPr>
            <w:tcW w:w="3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4"/>
                <w:szCs w:val="20"/>
              </w:rPr>
              <w:t>Ответственный исполнитель, соисполнители, участники</w:t>
            </w:r>
          </w:p>
        </w:tc>
        <w:tc>
          <w:tcPr>
            <w:tcW w:w="29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4"/>
                <w:szCs w:val="20"/>
              </w:rPr>
              <w:t>Ожидаемые сроки принятия</w:t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2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</w:t>
            </w:r>
          </w:p>
        </w:tc>
        <w:tc>
          <w:tcPr>
            <w:tcW w:w="32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3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4</w:t>
            </w:r>
          </w:p>
        </w:tc>
        <w:tc>
          <w:tcPr>
            <w:tcW w:w="29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5</w:t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НПА Ключевского с/с</w:t>
            </w:r>
          </w:p>
        </w:tc>
        <w:tc>
          <w:tcPr>
            <w:tcW w:w="32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Об определении ответственного лица за энергосбережение</w:t>
            </w:r>
          </w:p>
        </w:tc>
        <w:tc>
          <w:tcPr>
            <w:tcW w:w="3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Глава сельсовета</w:t>
            </w:r>
          </w:p>
        </w:tc>
        <w:tc>
          <w:tcPr>
            <w:tcW w:w="29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 xml:space="preserve">6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год</w:t>
            </w:r>
          </w:p>
        </w:tc>
      </w:tr>
    </w:tbl>
    <w:p>
      <w:pPr>
        <w:pStyle w:val="Normal"/>
        <w:spacing w:before="0" w:after="160"/>
        <w:jc w:val="end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sectPr>
      <w:footerReference w:type="even" r:id="rId8"/>
      <w:footerReference w:type="default" r:id="rId9"/>
      <w:footerReference w:type="first" r:id="rId10"/>
      <w:type w:val="nextPage"/>
      <w:pgSz w:orient="landscape" w:w="16838" w:h="11906"/>
      <w:pgMar w:left="1134" w:right="1134" w:gutter="0" w:header="0" w:top="1701" w:footer="709" w:bottom="851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cc" w:characterSet="windows-1251"/>
    <w:family w:val="roman"/>
    <w:pitch w:val="variable"/>
  </w:font>
  <w:font w:name="XO Thames">
    <w:charset w:val="cc" w:characterSet="windows-1251"/>
    <w:family w:val="roman"/>
    <w:pitch w:val="variable"/>
  </w:font>
  <w:font w:name="Tahoma"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  <w:font w:name="Times New Roman">
    <w:charset w:val="cc" w:characterSet="windows-125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</w:r>
    <w:r>
      <mc:AlternateContent>
        <mc:Choice Requires="wps">
          <w:drawing>
            <wp:anchor distT="0" distB="0" distL="0" distR="0" simplePos="0" relativeHeight="2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1120" cy="17081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120" cy="17081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Normal"/>
                            <w:pBdr/>
                            <w:spacing w:before="0" w:after="160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5.6pt;height:13.45pt;mso-wrap-distance-left:0pt;mso-wrap-distance-right:0pt;mso-wrap-distance-top:0pt;mso-wrap-distance-bottom:0pt;margin-top:0.05pt;mso-position-vertical-relative:text;margin-left:238.15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Normal"/>
                      <w:pBdr/>
                      <w:spacing w:before="0" w:after="160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1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</w:r>
    <w:r>
      <mc:AlternateContent>
        <mc:Choice Requires="wps">
          <w:drawing>
            <wp:anchor distT="0" distB="0" distL="0" distR="0" simplePos="0" relativeHeight="12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2240" cy="170815"/>
              <wp:effectExtent l="0" t="0" r="0" b="0"/>
              <wp:wrapSquare wrapText="bothSides"/>
              <wp:docPr id="2" name="Врезка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2240" cy="17081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Normal"/>
                            <w:pBdr/>
                            <w:spacing w:before="0" w:after="160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1.2pt;height:13.45pt;mso-wrap-distance-left:0pt;mso-wrap-distance-right:0pt;mso-wrap-distance-top:0pt;mso-wrap-distance-bottom:0pt;margin-top:0.05pt;mso-position-vertical-relative:text;margin-left:235.35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Normal"/>
                      <w:pBdr/>
                      <w:spacing w:before="0" w:after="160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10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Footer"/>
      <w:rPr/>
    </w:pPr>
    <w:r>
      <w:rPr/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</w:r>
    <w:r>
      <mc:AlternateContent>
        <mc:Choice Requires="wps">
          <w:drawing>
            <wp:anchor distT="0" distB="0" distL="0" distR="0" simplePos="0" relativeHeight="12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2240" cy="170815"/>
              <wp:effectExtent l="0" t="0" r="0" b="0"/>
              <wp:wrapSquare wrapText="bothSides"/>
              <wp:docPr id="3" name="Врезка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2240" cy="17081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Normal"/>
                            <w:pBdr/>
                            <w:spacing w:before="0" w:after="160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1.2pt;height:13.45pt;mso-wrap-distance-left:0pt;mso-wrap-distance-right:0pt;mso-wrap-distance-top:0pt;mso-wrap-distance-bottom:0pt;margin-top:0.05pt;mso-position-vertical-relative:text;margin-left:235.35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Normal"/>
                      <w:pBdr/>
                      <w:spacing w:before="0" w:after="160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10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Footer"/>
      <w:rPr/>
    </w:pPr>
    <w:r>
      <w:rPr/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</w:r>
    <w:r>
      <mc:AlternateContent>
        <mc:Choice Requires="wps">
          <w:drawing>
            <wp:anchor distT="0" distB="0" distL="0" distR="0" simplePos="0" relativeHeight="18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2240" cy="170815"/>
              <wp:effectExtent l="0" t="0" r="0" b="0"/>
              <wp:wrapSquare wrapText="bothSides"/>
              <wp:docPr id="4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2240" cy="17081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Normal"/>
                            <w:pBdr/>
                            <w:spacing w:before="0" w:after="160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17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1.2pt;height:13.45pt;mso-wrap-distance-left:0pt;mso-wrap-distance-right:0pt;mso-wrap-distance-top:0pt;mso-wrap-distance-bottom:0pt;margin-top:0.05pt;mso-position-vertical-relative:text;margin-left:358.65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Normal"/>
                      <w:pBdr/>
                      <w:spacing w:before="0" w:after="160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17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Footer"/>
      <w:rPr/>
    </w:pPr>
    <w:r>
      <w:rPr/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</w:r>
    <w:r>
      <mc:AlternateContent>
        <mc:Choice Requires="wps">
          <w:drawing>
            <wp:anchor distT="0" distB="0" distL="0" distR="0" simplePos="0" relativeHeight="18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2240" cy="170815"/>
              <wp:effectExtent l="0" t="0" r="0" b="0"/>
              <wp:wrapSquare wrapText="bothSides"/>
              <wp:docPr id="5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2240" cy="17081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Normal"/>
                            <w:pBdr/>
                            <w:spacing w:before="0" w:after="160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17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1.2pt;height:13.45pt;mso-wrap-distance-left:0pt;mso-wrap-distance-right:0pt;mso-wrap-distance-top:0pt;mso-wrap-distance-bottom:0pt;margin-top:0.05pt;mso-position-vertical-relative:text;margin-left:358.65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Normal"/>
                      <w:pBdr/>
                      <w:spacing w:before="0" w:after="160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17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0"/>
        </w:tabs>
        <w:ind w:start="1069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789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509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3229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949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669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389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109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829" w:hanging="180"/>
      </w:pPr>
      <w:rPr/>
    </w:lvl>
  </w:abstractNum>
  <w:abstractNum w:abstractNumId="7">
    <w:lvl w:ilvl="0">
      <w:start w:val="1"/>
      <w:numFmt w:val="decimal"/>
      <w:lvlText w:val="%1."/>
      <w:lvlJc w:val="start"/>
      <w:pPr>
        <w:tabs>
          <w:tab w:val="num" w:pos="0"/>
        </w:tabs>
        <w:ind w:start="107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8">
    <w:lvl w:ilvl="0">
      <w:start w:val="1"/>
      <w:numFmt w:val="decimal"/>
      <w:lvlText w:val="%1."/>
      <w:lvlJc w:val="start"/>
      <w:pPr>
        <w:tabs>
          <w:tab w:val="num" w:pos="0"/>
        </w:tabs>
        <w:ind w:start="107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9">
    <w:lvl w:ilvl="0">
      <w:start w:val="1"/>
      <w:numFmt w:val="decimal"/>
      <w:lvlText w:val="%1."/>
      <w:lvlJc w:val="start"/>
      <w:pPr>
        <w:tabs>
          <w:tab w:val="num" w:pos="0"/>
        </w:tabs>
        <w:ind w:start="107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10">
    <w:lvl w:ilvl="0">
      <w:start w:val="1"/>
      <w:numFmt w:val="decimal"/>
      <w:lvlText w:val="%1."/>
      <w:lvlJc w:val="start"/>
      <w:pPr>
        <w:tabs>
          <w:tab w:val="num" w:pos="0"/>
        </w:tabs>
        <w:ind w:start="107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1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75"/>
  <w:defaultTabStop w:val="708"/>
  <w:autoHyphenation w:val="true"/>
  <w:hyphenationZone w:val="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Arial" w:asciiTheme="minorAscii" w:hAnsiTheme="minorHAnsi"/>
        <w:color w:val="000000"/>
        <w:sz w:val="22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4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bidi w:val="0"/>
      <w:spacing w:lineRule="auto" w:line="264" w:before="0" w:after="160"/>
      <w:ind w:hanging="0" w:start="0" w:end="0"/>
      <w:jc w:val="start"/>
    </w:pPr>
    <w:rPr>
      <w:rFonts w:ascii="Calibri" w:hAnsi="Calibri" w:eastAsia="NSimSun" w:cs="Arial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Heading1">
    <w:name w:val="heading 1"/>
    <w:next w:val="Normal"/>
    <w:uiPriority w:val="9"/>
    <w:qFormat/>
    <w:pPr>
      <w:widowControl/>
      <w:bidi w:val="0"/>
      <w:spacing w:lineRule="auto" w:line="264" w:before="120" w:after="120"/>
      <w:ind w:hanging="0" w:start="0" w:end="0"/>
      <w:jc w:val="both"/>
      <w:outlineLvl w:val="0"/>
    </w:pPr>
    <w:rPr>
      <w:rFonts w:ascii="XO Thames" w:hAnsi="XO Thames" w:eastAsia="NSimSun" w:cs="Arial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Heading2">
    <w:name w:val="heading 2"/>
    <w:next w:val="Normal"/>
    <w:uiPriority w:val="9"/>
    <w:qFormat/>
    <w:pPr>
      <w:widowControl/>
      <w:bidi w:val="0"/>
      <w:spacing w:lineRule="auto" w:line="264" w:before="120" w:after="120"/>
      <w:ind w:hanging="0" w:start="0" w:end="0"/>
      <w:jc w:val="both"/>
      <w:outlineLvl w:val="1"/>
    </w:pPr>
    <w:rPr>
      <w:rFonts w:ascii="XO Thames" w:hAnsi="XO Thames" w:eastAsia="NSimSun" w:cs="Ari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3">
    <w:name w:val="heading 3"/>
    <w:next w:val="Normal"/>
    <w:uiPriority w:val="9"/>
    <w:qFormat/>
    <w:pPr>
      <w:widowControl/>
      <w:bidi w:val="0"/>
      <w:spacing w:lineRule="auto" w:line="264" w:before="120" w:after="120"/>
      <w:ind w:hanging="0" w:start="0" w:end="0"/>
      <w:jc w:val="both"/>
      <w:outlineLvl w:val="2"/>
    </w:pPr>
    <w:rPr>
      <w:rFonts w:ascii="XO Thames" w:hAnsi="XO Thames" w:eastAsia="NSimSun" w:cs="Arial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Heading4">
    <w:name w:val="heading 4"/>
    <w:next w:val="Normal"/>
    <w:uiPriority w:val="9"/>
    <w:qFormat/>
    <w:pPr>
      <w:widowControl/>
      <w:bidi w:val="0"/>
      <w:spacing w:lineRule="auto" w:line="264" w:before="120" w:after="120"/>
      <w:ind w:hanging="0" w:start="0" w:end="0"/>
      <w:jc w:val="both"/>
      <w:outlineLvl w:val="3"/>
    </w:pPr>
    <w:rPr>
      <w:rFonts w:ascii="XO Thames" w:hAnsi="XO Thames" w:eastAsia="NSimSun" w:cs="Arial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5">
    <w:name w:val="heading 5"/>
    <w:next w:val="Normal"/>
    <w:uiPriority w:val="9"/>
    <w:qFormat/>
    <w:pPr>
      <w:widowControl/>
      <w:bidi w:val="0"/>
      <w:spacing w:lineRule="auto" w:line="264" w:before="120" w:after="120"/>
      <w:ind w:hanging="0" w:start="0" w:end="0"/>
      <w:jc w:val="both"/>
      <w:outlineLvl w:val="4"/>
    </w:pPr>
    <w:rPr>
      <w:rFonts w:ascii="XO Thames" w:hAnsi="XO Thames" w:eastAsia="NSimSun" w:cs="Arial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ListParagraph">
    <w:name w:val="List Paragraph"/>
    <w:link w:val="ListParagraph1"/>
    <w:qFormat/>
    <w:rPr/>
  </w:style>
  <w:style w:type="character" w:styleId="Heading31">
    <w:name w:val="Heading 31"/>
    <w:qFormat/>
    <w:rPr>
      <w:rFonts w:ascii="XO Thames" w:hAnsi="XO Thames"/>
      <w:b/>
      <w:sz w:val="26"/>
    </w:rPr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js-extracted-address">
    <w:name w:val="js-extracted-address"/>
    <w:basedOn w:val="DefaultParagraphFont"/>
    <w:link w:val="js-extracted-address1"/>
    <w:qFormat/>
    <w:rPr/>
  </w:style>
  <w:style w:type="character" w:styleId="DefaultParagraphFont">
    <w:name w:val="Default Paragraph Font"/>
    <w:link w:val="DefaultParagraphFont1"/>
    <w:qFormat/>
    <w:rPr/>
  </w:style>
  <w:style w:type="character" w:styleId="BalloonText">
    <w:name w:val="Balloon Text"/>
    <w:link w:val="BalloonText1"/>
    <w:qFormat/>
    <w:rPr>
      <w:rFonts w:ascii="Tahoma" w:hAnsi="Tahoma"/>
      <w:sz w:val="16"/>
    </w:rPr>
  </w:style>
  <w:style w:type="character" w:styleId="Heading51">
    <w:name w:val="Heading 51"/>
    <w:qFormat/>
    <w:rPr>
      <w:rFonts w:ascii="XO Thames" w:hAnsi="XO Thames"/>
      <w:b/>
      <w:sz w:val="22"/>
    </w:rPr>
  </w:style>
  <w:style w:type="character" w:styleId="Footer1">
    <w:name w:val="Footer1"/>
    <w:qFormat/>
    <w:rPr/>
  </w:style>
  <w:style w:type="character" w:styleId="Heading11">
    <w:name w:val="Heading 11"/>
    <w:qFormat/>
    <w:rPr>
      <w:rFonts w:ascii="XO Thames" w:hAnsi="XO Thames"/>
      <w:b/>
      <w:sz w:val="32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Footnote">
    <w:name w:val="Footnote"/>
    <w:link w:val="Footnote1"/>
    <w:qFormat/>
    <w:rPr>
      <w:rFonts w:ascii="XO Thames" w:hAnsi="XO Thames"/>
      <w:sz w:val="22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HeaderandFooter">
    <w:name w:val="Header and Footer"/>
    <w:qFormat/>
    <w:rPr>
      <w:rFonts w:ascii="XO Thames" w:hAnsi="XO Thames"/>
      <w:sz w:val="20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mail-message-map-nobreak">
    <w:name w:val="mail-message-map-nobreak"/>
    <w:basedOn w:val="DefaultParagraphFont"/>
    <w:link w:val="mail-message-map-nobreak1"/>
    <w:qFormat/>
    <w:rPr/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nowrap">
    <w:name w:val="nowrap"/>
    <w:basedOn w:val="DefaultParagraphFont"/>
    <w:link w:val="nowrap1"/>
    <w:qFormat/>
    <w:rPr/>
  </w:style>
  <w:style w:type="character" w:styleId="Subtitle1">
    <w:name w:val="Subtitle1"/>
    <w:qFormat/>
    <w:rPr>
      <w:rFonts w:ascii="XO Thames" w:hAnsi="XO Thames"/>
      <w:i/>
      <w:sz w:val="24"/>
    </w:rPr>
  </w:style>
  <w:style w:type="character" w:styleId="Title1">
    <w:name w:val="Title1"/>
    <w:qFormat/>
    <w:rPr>
      <w:rFonts w:ascii="XO Thames" w:hAnsi="XO Thames"/>
      <w:b/>
      <w:caps/>
      <w:sz w:val="40"/>
    </w:rPr>
  </w:style>
  <w:style w:type="character" w:styleId="Header1">
    <w:name w:val="Header1"/>
    <w:qFormat/>
    <w:rPr/>
  </w:style>
  <w:style w:type="character" w:styleId="Heading41">
    <w:name w:val="Heading 41"/>
    <w:qFormat/>
    <w:rPr>
      <w:rFonts w:ascii="XO Thames" w:hAnsi="XO Thames"/>
      <w:b/>
      <w:sz w:val="24"/>
    </w:rPr>
  </w:style>
  <w:style w:type="character" w:styleId="Heading21">
    <w:name w:val="Heading 21"/>
    <w:qFormat/>
    <w:rPr>
      <w:rFonts w:ascii="XO Thames" w:hAnsi="XO Thames"/>
      <w:b/>
      <w:sz w:val="28"/>
    </w:rPr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rFonts w:cs="Arial"/>
    </w:rPr>
  </w:style>
  <w:style w:type="paragraph" w:styleId="TOC2">
    <w:name w:val="toc 2"/>
    <w:next w:val="Normal"/>
    <w:uiPriority w:val="39"/>
    <w:pPr>
      <w:widowControl/>
      <w:bidi w:val="0"/>
      <w:spacing w:lineRule="auto" w:line="264" w:before="0" w:after="160"/>
      <w:ind w:hanging="0" w:start="200" w:end="0"/>
      <w:jc w:val="star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TOC4">
    <w:name w:val="toc 4"/>
    <w:next w:val="Normal"/>
    <w:uiPriority w:val="39"/>
    <w:pPr>
      <w:widowControl/>
      <w:bidi w:val="0"/>
      <w:spacing w:lineRule="auto" w:line="264" w:before="0" w:after="160"/>
      <w:ind w:hanging="0" w:start="600" w:end="0"/>
      <w:jc w:val="star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TOC6">
    <w:name w:val="toc 6"/>
    <w:next w:val="Normal"/>
    <w:uiPriority w:val="39"/>
    <w:pPr>
      <w:widowControl/>
      <w:bidi w:val="0"/>
      <w:spacing w:lineRule="auto" w:line="264" w:before="0" w:after="160"/>
      <w:ind w:hanging="0" w:start="1000" w:end="0"/>
      <w:jc w:val="star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TOC7">
    <w:name w:val="toc 7"/>
    <w:next w:val="Normal"/>
    <w:uiPriority w:val="39"/>
    <w:pPr>
      <w:widowControl/>
      <w:bidi w:val="0"/>
      <w:spacing w:lineRule="auto" w:line="264" w:before="0" w:after="160"/>
      <w:ind w:hanging="0" w:start="1200" w:end="0"/>
      <w:jc w:val="star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ListParagraph1">
    <w:name w:val="List Paragraph1"/>
    <w:basedOn w:val="Normal"/>
    <w:link w:val="ListParagraph"/>
    <w:qFormat/>
    <w:pPr>
      <w:spacing w:before="0" w:after="160"/>
      <w:ind w:hanging="0" w:start="720"/>
      <w:contextualSpacing/>
    </w:pPr>
    <w:rPr/>
  </w:style>
  <w:style w:type="paragraph" w:styleId="TOC3">
    <w:name w:val="toc 3"/>
    <w:next w:val="Normal"/>
    <w:uiPriority w:val="39"/>
    <w:pPr>
      <w:widowControl/>
      <w:bidi w:val="0"/>
      <w:spacing w:lineRule="auto" w:line="264" w:before="0" w:after="160"/>
      <w:ind w:hanging="0" w:start="400" w:end="0"/>
      <w:jc w:val="star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js-extracted-address1">
    <w:name w:val="js-extracted-address1"/>
    <w:basedOn w:val="DefaultParagraphFont1"/>
    <w:link w:val="js-extracted-address"/>
    <w:qFormat/>
    <w:pPr/>
    <w:rPr/>
  </w:style>
  <w:style w:type="paragraph" w:styleId="DefaultParagraphFont1">
    <w:name w:val="Default Paragraph Font1"/>
    <w:link w:val="DefaultParagraphFont"/>
    <w:qFormat/>
    <w:pPr>
      <w:widowControl/>
      <w:bidi w:val="0"/>
      <w:spacing w:lineRule="auto" w:line="264" w:before="0" w:after="160"/>
      <w:ind w:hanging="0" w:start="0" w:end="0"/>
      <w:jc w:val="start"/>
    </w:pPr>
    <w:rPr>
      <w:rFonts w:ascii="Calibri" w:hAnsi="Calibri" w:eastAsia="NSimSun" w:cs="Arial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BalloonText1">
    <w:name w:val="Balloon Text1"/>
    <w:basedOn w:val="Normal"/>
    <w:link w:val="BalloonText"/>
    <w:qFormat/>
    <w:pPr>
      <w:spacing w:lineRule="auto" w:line="240" w:before="0" w:after="0"/>
    </w:pPr>
    <w:rPr>
      <w:rFonts w:ascii="Tahoma" w:hAnsi="Tahoma"/>
      <w:sz w:val="16"/>
    </w:rPr>
  </w:style>
  <w:style w:type="paragraph" w:styleId="Style11">
    <w:name w:val="Колонтитулы"/>
    <w:qFormat/>
    <w:pPr>
      <w:widowControl/>
      <w:bidi w:val="0"/>
      <w:spacing w:lineRule="auto" w:line="240" w:before="0" w:after="160"/>
      <w:ind w:hanging="0" w:start="0" w:end="0"/>
      <w:jc w:val="both"/>
    </w:pPr>
    <w:rPr>
      <w:rFonts w:ascii="XO Thames" w:hAnsi="XO Thames" w:eastAsia="NSimSun" w:cs="Arial"/>
      <w:color w:val="000000"/>
      <w:spacing w:val="0"/>
      <w:kern w:val="0"/>
      <w:sz w:val="20"/>
      <w:szCs w:val="20"/>
      <w:lang w:val="ru-RU" w:eastAsia="zh-CN" w:bidi="hi-IN"/>
    </w:rPr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Internetlink">
    <w:name w:val="Internet link"/>
    <w:basedOn w:val="DefaultParagraphFont1"/>
    <w:qFormat/>
    <w:pPr/>
    <w:rPr>
      <w:color w:val="0000FF"/>
      <w:u w:val="single"/>
    </w:rPr>
  </w:style>
  <w:style w:type="paragraph" w:styleId="Footnote1">
    <w:name w:val="Footnote1"/>
    <w:link w:val="Footnote"/>
    <w:qFormat/>
    <w:pPr>
      <w:widowControl/>
      <w:bidi w:val="0"/>
      <w:spacing w:lineRule="auto" w:line="264" w:before="0" w:after="160"/>
      <w:ind w:firstLine="851" w:start="0" w:end="0"/>
      <w:jc w:val="both"/>
    </w:pPr>
    <w:rPr>
      <w:rFonts w:ascii="XO Thames" w:hAnsi="XO Thames" w:eastAsia="NSimSun" w:cs="Arial"/>
      <w:color w:val="000000"/>
      <w:spacing w:val="0"/>
      <w:kern w:val="0"/>
      <w:sz w:val="22"/>
      <w:szCs w:val="20"/>
      <w:lang w:val="ru-RU" w:eastAsia="zh-CN" w:bidi="hi-IN"/>
    </w:rPr>
  </w:style>
  <w:style w:type="paragraph" w:styleId="TOC1">
    <w:name w:val="toc 1"/>
    <w:next w:val="Normal"/>
    <w:uiPriority w:val="39"/>
    <w:pPr>
      <w:widowControl/>
      <w:bidi w:val="0"/>
      <w:spacing w:lineRule="auto" w:line="264" w:before="0" w:after="160"/>
      <w:ind w:hanging="0" w:start="0" w:end="0"/>
      <w:jc w:val="start"/>
    </w:pPr>
    <w:rPr>
      <w:rFonts w:ascii="XO Thames" w:hAnsi="XO Thames" w:eastAsia="NSimSun" w:cs="Ari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TOC9">
    <w:name w:val="toc 9"/>
    <w:next w:val="Normal"/>
    <w:uiPriority w:val="39"/>
    <w:pPr>
      <w:widowControl/>
      <w:bidi w:val="0"/>
      <w:spacing w:lineRule="auto" w:line="264" w:before="0" w:after="160"/>
      <w:ind w:hanging="0" w:start="1600" w:end="0"/>
      <w:jc w:val="star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TOC8">
    <w:name w:val="toc 8"/>
    <w:next w:val="Normal"/>
    <w:uiPriority w:val="39"/>
    <w:pPr>
      <w:widowControl/>
      <w:bidi w:val="0"/>
      <w:spacing w:lineRule="auto" w:line="264" w:before="0" w:after="160"/>
      <w:ind w:hanging="0" w:start="1400" w:end="0"/>
      <w:jc w:val="star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mail-message-map-nobreak1">
    <w:name w:val="mail-message-map-nobreak1"/>
    <w:basedOn w:val="DefaultParagraphFont1"/>
    <w:link w:val="mail-message-map-nobreak"/>
    <w:qFormat/>
    <w:pPr/>
    <w:rPr/>
  </w:style>
  <w:style w:type="paragraph" w:styleId="TOC5">
    <w:name w:val="toc 5"/>
    <w:next w:val="Normal"/>
    <w:uiPriority w:val="39"/>
    <w:pPr>
      <w:widowControl/>
      <w:bidi w:val="0"/>
      <w:spacing w:lineRule="auto" w:line="264" w:before="0" w:after="160"/>
      <w:ind w:hanging="0" w:start="800" w:end="0"/>
      <w:jc w:val="star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nowrap1">
    <w:name w:val="nowrap1"/>
    <w:basedOn w:val="DefaultParagraphFont1"/>
    <w:link w:val="nowrap"/>
    <w:qFormat/>
    <w:pPr/>
    <w:rPr/>
  </w:style>
  <w:style w:type="paragraph" w:styleId="Subtitle">
    <w:name w:val="Subtitle"/>
    <w:next w:val="Normal"/>
    <w:uiPriority w:val="11"/>
    <w:qFormat/>
    <w:pPr>
      <w:widowControl/>
      <w:bidi w:val="0"/>
      <w:spacing w:lineRule="auto" w:line="264" w:before="0" w:after="160"/>
      <w:ind w:hanging="0" w:start="0" w:end="0"/>
      <w:jc w:val="both"/>
    </w:pPr>
    <w:rPr>
      <w:rFonts w:ascii="XO Thames" w:hAnsi="XO Thames" w:eastAsia="NSimSun" w:cs="Arial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Title">
    <w:name w:val="Title"/>
    <w:next w:val="Normal"/>
    <w:uiPriority w:val="10"/>
    <w:qFormat/>
    <w:pPr>
      <w:widowControl/>
      <w:bidi w:val="0"/>
      <w:spacing w:lineRule="auto" w:line="264" w:before="567" w:after="567"/>
      <w:ind w:hanging="0" w:start="0" w:end="0"/>
      <w:jc w:val="center"/>
    </w:pPr>
    <w:rPr>
      <w:rFonts w:ascii="XO Thames" w:hAnsi="XO Thames" w:eastAsia="NSimSun" w:cs="Arial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12">
    <w:name w:val="Содержимое врезки"/>
    <w:basedOn w:val="Normal"/>
    <w:qFormat/>
    <w:pPr/>
    <w:rPr/>
  </w:style>
  <w:style w:type="table" w:styleId="Style_2">
    <w:name w:val="Table Grid"/>
    <w:basedOn w:val="Style_6"/>
    <w:pPr>
      <w:spacing w:after="0" w:line="240" w:lineRule="auto"/>
    </w:pPr>
    <w:tblPr>
      <w:tblBorders>
        <w:top w:val="single" w:color="000000" w:sz="4"/>
        <w:left w:val="single" w:color="000000" w:sz="4"/>
        <w:bottom w:val="single" w:color="000000" w:sz="4"/>
        <w:right w:val="single" w:color="000000" w:sz="4"/>
        <w:insideH w:val="single" w:color="000000" w:sz="4"/>
        <w:insideV w:val="single" w:color="000000" w:sz="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default="1" w:styleId="Style_6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er" Target="footer4.xml"/><Relationship Id="rId6" Type="http://schemas.openxmlformats.org/officeDocument/2006/relationships/footer" Target="footer5.xml"/><Relationship Id="rId7" Type="http://schemas.openxmlformats.org/officeDocument/2006/relationships/footer" Target="footer6.xml"/><Relationship Id="rId8" Type="http://schemas.openxmlformats.org/officeDocument/2006/relationships/footer" Target="footer7.xml"/><Relationship Id="rId9" Type="http://schemas.openxmlformats.org/officeDocument/2006/relationships/footer" Target="footer8.xml"/><Relationship Id="rId10" Type="http://schemas.openxmlformats.org/officeDocument/2006/relationships/footer" Target="footer9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tileRect l="0" t="0" r="0" b="0"/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Application>LibreOffice/25.8.6.2$Windows_X86_64 LibreOffice_project/b4b39682cd9868fa725bc664aff94278d315bd04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2026-06-09T08:32:28Z</dcterms:modified>
  <cp:revision>1</cp:revision>
  <dc:subject/>
  <dc:title/>
</cp:coreProperties>
</file>